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BC6B" w14:textId="4F67FDB1" w:rsidR="00420E1D" w:rsidRDefault="008B4BB7" w:rsidP="00420E1D">
      <w:pPr>
        <w:pStyle w:val="Naslov"/>
        <w:rPr>
          <w:rFonts w:cs="Arial"/>
          <w:sz w:val="28"/>
          <w:szCs w:val="28"/>
        </w:rPr>
      </w:pPr>
      <w:r w:rsidRPr="008B4BB7">
        <w:rPr>
          <w:rFonts w:cs="Arial"/>
          <w:sz w:val="28"/>
          <w:szCs w:val="28"/>
        </w:rPr>
        <w:t xml:space="preserve">III. </w:t>
      </w:r>
      <w:r w:rsidR="00420E1D" w:rsidRPr="008B4BB7">
        <w:rPr>
          <w:rFonts w:cs="Arial"/>
          <w:sz w:val="28"/>
          <w:szCs w:val="28"/>
        </w:rPr>
        <w:t xml:space="preserve">OBRAZLOŽENJE </w:t>
      </w:r>
    </w:p>
    <w:p w14:paraId="50F1812C" w14:textId="77777777" w:rsidR="008B4BB7" w:rsidRPr="008B4BB7" w:rsidRDefault="008B4BB7" w:rsidP="00420E1D">
      <w:pPr>
        <w:pStyle w:val="Naslov"/>
        <w:rPr>
          <w:rFonts w:cs="Arial"/>
          <w:sz w:val="28"/>
          <w:szCs w:val="28"/>
        </w:rPr>
      </w:pPr>
    </w:p>
    <w:p w14:paraId="7F9FD638" w14:textId="620ABBDC" w:rsidR="003C2F13" w:rsidRPr="003C2F13" w:rsidRDefault="003C2F13" w:rsidP="003C2F13">
      <w:pPr>
        <w:pStyle w:val="Naslov"/>
        <w:rPr>
          <w:rFonts w:cs="Arial"/>
          <w:b w:val="0"/>
          <w:bCs w:val="0"/>
          <w:sz w:val="28"/>
          <w:szCs w:val="28"/>
        </w:rPr>
      </w:pPr>
      <w:bookmarkStart w:id="0" w:name="_Hlk115274919"/>
      <w:r w:rsidRPr="003C2F13">
        <w:rPr>
          <w:rFonts w:cs="Arial"/>
          <w:b w:val="0"/>
          <w:bCs w:val="0"/>
          <w:sz w:val="28"/>
          <w:szCs w:val="28"/>
        </w:rPr>
        <w:t>IZVJEŠTAJ</w:t>
      </w:r>
      <w:r>
        <w:rPr>
          <w:rFonts w:cs="Arial"/>
          <w:b w:val="0"/>
          <w:bCs w:val="0"/>
          <w:sz w:val="28"/>
          <w:szCs w:val="28"/>
        </w:rPr>
        <w:t>A</w:t>
      </w:r>
      <w:r w:rsidRPr="003C2F13">
        <w:rPr>
          <w:rFonts w:cs="Arial"/>
          <w:b w:val="0"/>
          <w:bCs w:val="0"/>
          <w:sz w:val="28"/>
          <w:szCs w:val="28"/>
        </w:rPr>
        <w:t xml:space="preserve"> O IZVRŠENJU FINANCIJSKOG PLANA </w:t>
      </w:r>
    </w:p>
    <w:p w14:paraId="31EA2A31" w14:textId="4D818EA5" w:rsidR="003C2F13" w:rsidRPr="003C2F13" w:rsidRDefault="004D14DC" w:rsidP="003C2F13">
      <w:pPr>
        <w:pStyle w:val="Naslov"/>
        <w:rPr>
          <w:rFonts w:cs="Arial"/>
          <w:b w:val="0"/>
          <w:bCs w:val="0"/>
          <w:sz w:val="28"/>
          <w:szCs w:val="28"/>
        </w:rPr>
      </w:pPr>
      <w:r>
        <w:rPr>
          <w:rFonts w:cs="Arial"/>
          <w:b w:val="0"/>
          <w:bCs w:val="0"/>
          <w:sz w:val="28"/>
          <w:szCs w:val="28"/>
        </w:rPr>
        <w:t>JAVNE VATROGASNE POSTROJBE BUZET</w:t>
      </w:r>
      <w:r w:rsidR="003C2F13" w:rsidRPr="003C2F13">
        <w:rPr>
          <w:rFonts w:cs="Arial"/>
          <w:b w:val="0"/>
          <w:bCs w:val="0"/>
          <w:sz w:val="28"/>
          <w:szCs w:val="28"/>
        </w:rPr>
        <w:t xml:space="preserve"> </w:t>
      </w:r>
    </w:p>
    <w:p w14:paraId="799492EF" w14:textId="48B4726E" w:rsidR="003C2F13" w:rsidRDefault="003C2F13" w:rsidP="003C2F13">
      <w:pPr>
        <w:pStyle w:val="Naslov"/>
        <w:rPr>
          <w:rFonts w:cs="Arial"/>
          <w:b w:val="0"/>
          <w:bCs w:val="0"/>
          <w:sz w:val="28"/>
          <w:szCs w:val="28"/>
        </w:rPr>
      </w:pPr>
      <w:r w:rsidRPr="003C2F13">
        <w:rPr>
          <w:rFonts w:cs="Arial"/>
          <w:b w:val="0"/>
          <w:bCs w:val="0"/>
          <w:sz w:val="28"/>
          <w:szCs w:val="28"/>
        </w:rPr>
        <w:t xml:space="preserve">ZA </w:t>
      </w:r>
      <w:r w:rsidR="00C5371E">
        <w:rPr>
          <w:rFonts w:cs="Arial"/>
          <w:b w:val="0"/>
          <w:bCs w:val="0"/>
          <w:sz w:val="28"/>
          <w:szCs w:val="28"/>
        </w:rPr>
        <w:t>1-</w:t>
      </w:r>
      <w:r w:rsidR="00820C16">
        <w:rPr>
          <w:rFonts w:cs="Arial"/>
          <w:b w:val="0"/>
          <w:bCs w:val="0"/>
          <w:sz w:val="28"/>
          <w:szCs w:val="28"/>
        </w:rPr>
        <w:t>12</w:t>
      </w:r>
      <w:r w:rsidR="00C5371E">
        <w:rPr>
          <w:rFonts w:cs="Arial"/>
          <w:b w:val="0"/>
          <w:bCs w:val="0"/>
          <w:sz w:val="28"/>
          <w:szCs w:val="28"/>
        </w:rPr>
        <w:t>/</w:t>
      </w:r>
      <w:r w:rsidRPr="003C2F13">
        <w:rPr>
          <w:rFonts w:cs="Arial"/>
          <w:b w:val="0"/>
          <w:bCs w:val="0"/>
          <w:sz w:val="28"/>
          <w:szCs w:val="28"/>
        </w:rPr>
        <w:t>202</w:t>
      </w:r>
      <w:r w:rsidR="00C5371E">
        <w:rPr>
          <w:rFonts w:cs="Arial"/>
          <w:b w:val="0"/>
          <w:bCs w:val="0"/>
          <w:sz w:val="28"/>
          <w:szCs w:val="28"/>
        </w:rPr>
        <w:t>5</w:t>
      </w:r>
      <w:r w:rsidRPr="003C2F13">
        <w:rPr>
          <w:rFonts w:cs="Arial"/>
          <w:b w:val="0"/>
          <w:bCs w:val="0"/>
          <w:sz w:val="28"/>
          <w:szCs w:val="28"/>
        </w:rPr>
        <w:t>.</w:t>
      </w:r>
      <w:r w:rsidR="00974AEB">
        <w:rPr>
          <w:rFonts w:cs="Arial"/>
          <w:b w:val="0"/>
          <w:bCs w:val="0"/>
          <w:sz w:val="28"/>
          <w:szCs w:val="28"/>
        </w:rPr>
        <w:t xml:space="preserve"> GODINU</w:t>
      </w:r>
    </w:p>
    <w:p w14:paraId="4BF047EE" w14:textId="77777777" w:rsidR="003C2F13" w:rsidRDefault="003C2F13" w:rsidP="00420E1D">
      <w:pPr>
        <w:pStyle w:val="Naslov"/>
        <w:rPr>
          <w:rFonts w:cs="Arial"/>
          <w:b w:val="0"/>
          <w:bCs w:val="0"/>
          <w:sz w:val="28"/>
          <w:szCs w:val="28"/>
        </w:rPr>
      </w:pPr>
    </w:p>
    <w:p w14:paraId="2E1ADADC" w14:textId="77777777" w:rsidR="003C2F13" w:rsidRDefault="003C2F13" w:rsidP="00420E1D">
      <w:pPr>
        <w:pStyle w:val="Naslov"/>
        <w:rPr>
          <w:rFonts w:cs="Arial"/>
          <w:b w:val="0"/>
          <w:bCs w:val="0"/>
          <w:sz w:val="28"/>
          <w:szCs w:val="28"/>
        </w:rPr>
      </w:pPr>
    </w:p>
    <w:bookmarkEnd w:id="0"/>
    <w:p w14:paraId="0DA89F3B" w14:textId="192069B6" w:rsidR="00420E1D" w:rsidRDefault="00420E1D" w:rsidP="00420E1D">
      <w:pPr>
        <w:pStyle w:val="Naslov"/>
        <w:jc w:val="left"/>
        <w:rPr>
          <w:rFonts w:cs="Arial"/>
          <w:bCs w:val="0"/>
        </w:rPr>
      </w:pPr>
    </w:p>
    <w:p w14:paraId="0B843A52" w14:textId="77777777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22F87DC4" w14:textId="31FD8798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66479F51" w14:textId="77777777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09F3787E" w14:textId="27AF0D6D" w:rsidR="00B2007B" w:rsidRDefault="00B2007B" w:rsidP="00B2007B">
      <w:pPr>
        <w:rPr>
          <w:rFonts w:ascii="Arial" w:hAnsi="Arial" w:cs="Arial"/>
          <w:b/>
          <w:bCs/>
        </w:rPr>
      </w:pPr>
      <w:r w:rsidRPr="00B2007B">
        <w:rPr>
          <w:rFonts w:ascii="Arial" w:hAnsi="Arial" w:cs="Arial"/>
          <w:b/>
          <w:bCs/>
        </w:rPr>
        <w:t>SADRŽAJ</w:t>
      </w:r>
    </w:p>
    <w:p w14:paraId="01A2CB5E" w14:textId="5D609489" w:rsidR="008D0306" w:rsidRDefault="008D0306" w:rsidP="00B2007B">
      <w:pPr>
        <w:rPr>
          <w:rFonts w:ascii="Arial" w:hAnsi="Arial" w:cs="Arial"/>
          <w:b/>
          <w:bCs/>
        </w:rPr>
      </w:pPr>
    </w:p>
    <w:p w14:paraId="5D2F3F3C" w14:textId="77777777" w:rsidR="008D0306" w:rsidRPr="00A143D4" w:rsidRDefault="008D0306" w:rsidP="00D25984">
      <w:pPr>
        <w:spacing w:line="360" w:lineRule="auto"/>
        <w:rPr>
          <w:rFonts w:ascii="Arial" w:hAnsi="Arial" w:cs="Arial"/>
          <w:b/>
          <w:bCs/>
        </w:rPr>
      </w:pPr>
    </w:p>
    <w:p w14:paraId="5394DF5B" w14:textId="5968537D" w:rsidR="00A143D4" w:rsidRPr="00A143D4" w:rsidRDefault="00B2007B">
      <w:pPr>
        <w:pStyle w:val="Sadraj1"/>
        <w:rPr>
          <w:rFonts w:eastAsiaTheme="minorEastAsia"/>
          <w:b w:val="0"/>
          <w:bCs w:val="0"/>
          <w:kern w:val="2"/>
          <w:sz w:val="22"/>
          <w:szCs w:val="22"/>
          <w14:ligatures w14:val="standardContextual"/>
        </w:rPr>
      </w:pPr>
      <w:r w:rsidRPr="00A143D4">
        <w:fldChar w:fldCharType="begin"/>
      </w:r>
      <w:r w:rsidRPr="00A143D4">
        <w:instrText xml:space="preserve"> TOC \o "1-3" \h \z \u </w:instrText>
      </w:r>
      <w:r w:rsidRPr="00A143D4">
        <w:fldChar w:fldCharType="separate"/>
      </w:r>
      <w:hyperlink w:anchor="_Toc141888384" w:history="1">
        <w:r w:rsidR="00A143D4" w:rsidRPr="00A143D4">
          <w:rPr>
            <w:rStyle w:val="Hiperveza"/>
          </w:rPr>
          <w:t>1</w:t>
        </w:r>
        <w:r w:rsidR="00A143D4" w:rsidRPr="00A143D4">
          <w:rPr>
            <w:rFonts w:eastAsiaTheme="minorEastAsia"/>
            <w:b w:val="0"/>
            <w:bCs w:val="0"/>
            <w:kern w:val="2"/>
            <w:sz w:val="22"/>
            <w:szCs w:val="22"/>
            <w14:ligatures w14:val="standardContextual"/>
          </w:rPr>
          <w:tab/>
        </w:r>
        <w:r w:rsidR="00A143D4" w:rsidRPr="00A143D4">
          <w:rPr>
            <w:rStyle w:val="Hiperveza"/>
          </w:rPr>
          <w:t>OBRAZLOŽENJE OPĆEG DIJELA</w:t>
        </w:r>
        <w:r w:rsidR="00A143D4" w:rsidRPr="00A143D4">
          <w:rPr>
            <w:webHidden/>
          </w:rPr>
          <w:tab/>
        </w:r>
        <w:r w:rsidR="00A143D4" w:rsidRPr="00A143D4">
          <w:rPr>
            <w:webHidden/>
          </w:rPr>
          <w:fldChar w:fldCharType="begin"/>
        </w:r>
        <w:r w:rsidR="00A143D4" w:rsidRPr="00A143D4">
          <w:rPr>
            <w:webHidden/>
          </w:rPr>
          <w:instrText xml:space="preserve"> PAGEREF _Toc141888384 \h </w:instrText>
        </w:r>
        <w:r w:rsidR="00A143D4" w:rsidRPr="00A143D4">
          <w:rPr>
            <w:webHidden/>
          </w:rPr>
        </w:r>
        <w:r w:rsidR="00A143D4" w:rsidRPr="00A143D4">
          <w:rPr>
            <w:webHidden/>
          </w:rPr>
          <w:fldChar w:fldCharType="separate"/>
        </w:r>
        <w:r w:rsidR="0035672B">
          <w:rPr>
            <w:webHidden/>
          </w:rPr>
          <w:t>2</w:t>
        </w:r>
        <w:r w:rsidR="00A143D4" w:rsidRPr="00A143D4">
          <w:rPr>
            <w:webHidden/>
          </w:rPr>
          <w:fldChar w:fldCharType="end"/>
        </w:r>
      </w:hyperlink>
    </w:p>
    <w:p w14:paraId="11499388" w14:textId="24C93E24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5" w:history="1">
        <w:r w:rsidRPr="00A143D4">
          <w:rPr>
            <w:rStyle w:val="Hiperveza"/>
            <w:rFonts w:ascii="Arial" w:hAnsi="Arial" w:cs="Arial"/>
            <w:noProof/>
          </w:rPr>
          <w:t>1.1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Prihodi i primici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_Toc141888385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2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4EAD8A58" w14:textId="599EC1A4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6" w:history="1">
        <w:r w:rsidRPr="00A143D4">
          <w:rPr>
            <w:rStyle w:val="Hiperveza"/>
            <w:rFonts w:ascii="Arial" w:hAnsi="Arial" w:cs="Arial"/>
            <w:noProof/>
          </w:rPr>
          <w:t>1.2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Rashodi i izdaci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_Toc141888386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4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72A125D0" w14:textId="194202CF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7" w:history="1">
        <w:r w:rsidRPr="00A143D4">
          <w:rPr>
            <w:rStyle w:val="Hiperveza"/>
            <w:rFonts w:ascii="Arial" w:hAnsi="Arial" w:cs="Arial"/>
            <w:noProof/>
          </w:rPr>
          <w:t>1.3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Prikaz manjka/viška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_Toc141888387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7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74537540" w14:textId="2B348038" w:rsidR="0090200F" w:rsidRPr="00A143D4" w:rsidRDefault="00B2007B" w:rsidP="00D25984">
      <w:pPr>
        <w:pStyle w:val="Naslov"/>
        <w:spacing w:line="360" w:lineRule="auto"/>
        <w:jc w:val="left"/>
        <w:rPr>
          <w:rFonts w:cs="Arial"/>
          <w:bCs w:val="0"/>
        </w:rPr>
      </w:pPr>
      <w:r w:rsidRPr="00A143D4">
        <w:rPr>
          <w:rFonts w:cs="Arial"/>
          <w:bCs w:val="0"/>
        </w:rPr>
        <w:fldChar w:fldCharType="end"/>
      </w:r>
    </w:p>
    <w:p w14:paraId="28006E6B" w14:textId="3398B7E5" w:rsidR="0090200F" w:rsidRPr="00A143D4" w:rsidRDefault="0090200F" w:rsidP="00420E1D">
      <w:pPr>
        <w:pStyle w:val="Naslov"/>
        <w:jc w:val="left"/>
        <w:rPr>
          <w:rFonts w:cs="Arial"/>
          <w:bCs w:val="0"/>
        </w:rPr>
      </w:pPr>
    </w:p>
    <w:p w14:paraId="04D38870" w14:textId="77777777" w:rsidR="0090200F" w:rsidRDefault="0090200F" w:rsidP="00420E1D">
      <w:pPr>
        <w:pStyle w:val="Naslov"/>
        <w:jc w:val="left"/>
        <w:rPr>
          <w:rFonts w:cs="Arial"/>
          <w:bCs w:val="0"/>
          <w:sz w:val="28"/>
          <w:szCs w:val="28"/>
        </w:rPr>
      </w:pPr>
    </w:p>
    <w:p w14:paraId="0017F9F4" w14:textId="77777777" w:rsidR="0090200F" w:rsidRPr="0021511C" w:rsidRDefault="0090200F" w:rsidP="00420E1D">
      <w:pPr>
        <w:pStyle w:val="Naslov"/>
        <w:jc w:val="left"/>
        <w:rPr>
          <w:rFonts w:cs="Arial"/>
          <w:bCs w:val="0"/>
          <w:sz w:val="28"/>
          <w:szCs w:val="28"/>
        </w:rPr>
      </w:pPr>
    </w:p>
    <w:p w14:paraId="3904796C" w14:textId="77777777" w:rsidR="0090200F" w:rsidRDefault="00420E1D" w:rsidP="0090200F">
      <w:pPr>
        <w:rPr>
          <w:rFonts w:ascii="Arial" w:hAnsi="Arial" w:cs="Arial"/>
          <w:b/>
          <w:bCs/>
        </w:rPr>
        <w:sectPr w:rsidR="0090200F" w:rsidSect="006F5B12">
          <w:footerReference w:type="even" r:id="rId8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p w14:paraId="63972FA2" w14:textId="6FFCBD21" w:rsidR="00B10C1F" w:rsidRPr="00AC55FF" w:rsidRDefault="00420E1D" w:rsidP="00420E1D">
      <w:pPr>
        <w:jc w:val="both"/>
        <w:rPr>
          <w:rFonts w:ascii="Arial" w:hAnsi="Arial" w:cs="Arial"/>
        </w:rPr>
      </w:pPr>
      <w:r w:rsidRPr="00AC55FF">
        <w:rPr>
          <w:rFonts w:ascii="Arial" w:hAnsi="Arial" w:cs="Arial"/>
        </w:rPr>
        <w:lastRenderedPageBreak/>
        <w:t>Zakonom o proračunu (</w:t>
      </w:r>
      <w:r w:rsidR="00AC55FF">
        <w:rPr>
          <w:rFonts w:ascii="Arial" w:hAnsi="Arial" w:cs="Arial"/>
        </w:rPr>
        <w:t>NN</w:t>
      </w:r>
      <w:r w:rsidRPr="00AC55FF">
        <w:rPr>
          <w:rFonts w:ascii="Arial" w:hAnsi="Arial" w:cs="Arial"/>
        </w:rPr>
        <w:t xml:space="preserve">, br. 144/21) i Pravilnikom o polugodišnjem i godišnjem izvještaju o izvršenju proračuna </w:t>
      </w:r>
      <w:r w:rsidR="00AC55FF">
        <w:rPr>
          <w:rFonts w:ascii="Arial" w:hAnsi="Arial" w:cs="Arial"/>
        </w:rPr>
        <w:t xml:space="preserve">i financijskog plana </w:t>
      </w:r>
      <w:r w:rsidRPr="00AC55FF">
        <w:rPr>
          <w:rFonts w:ascii="Arial" w:hAnsi="Arial" w:cs="Arial"/>
        </w:rPr>
        <w:t>(</w:t>
      </w:r>
      <w:r w:rsidR="00AC55FF">
        <w:rPr>
          <w:rFonts w:ascii="Arial" w:hAnsi="Arial" w:cs="Arial"/>
        </w:rPr>
        <w:t>NN,</w:t>
      </w:r>
      <w:r w:rsidRPr="00AC55FF">
        <w:rPr>
          <w:rFonts w:ascii="Arial" w:hAnsi="Arial" w:cs="Arial"/>
        </w:rPr>
        <w:t xml:space="preserve"> br. </w:t>
      </w:r>
      <w:r w:rsidR="00572F23" w:rsidRPr="00AC55FF">
        <w:rPr>
          <w:rFonts w:ascii="Arial" w:hAnsi="Arial" w:cs="Arial"/>
        </w:rPr>
        <w:t>85/2023</w:t>
      </w:r>
      <w:r w:rsidRPr="00AC55FF">
        <w:rPr>
          <w:rFonts w:ascii="Arial" w:hAnsi="Arial" w:cs="Arial"/>
        </w:rPr>
        <w:t xml:space="preserve">) propisana je obveza sastavljanja i podnošenja </w:t>
      </w:r>
      <w:r w:rsidR="00012D0E">
        <w:rPr>
          <w:rFonts w:ascii="Arial" w:hAnsi="Arial" w:cs="Arial"/>
        </w:rPr>
        <w:t>g</w:t>
      </w:r>
      <w:r w:rsidRPr="00AC55FF">
        <w:rPr>
          <w:rFonts w:ascii="Arial" w:hAnsi="Arial" w:cs="Arial"/>
        </w:rPr>
        <w:t xml:space="preserve">odišnjeg izvještaja o izvršenju </w:t>
      </w:r>
      <w:r w:rsidR="00572F23" w:rsidRPr="00AC55FF">
        <w:rPr>
          <w:rFonts w:ascii="Arial" w:hAnsi="Arial" w:cs="Arial"/>
        </w:rPr>
        <w:t>financijskog plana</w:t>
      </w:r>
      <w:r w:rsidR="00B10C1F" w:rsidRPr="00AC55FF">
        <w:rPr>
          <w:rFonts w:ascii="Arial" w:hAnsi="Arial" w:cs="Arial"/>
        </w:rPr>
        <w:t xml:space="preserve"> proračunskog korisnika jedinice lokalne samouprave. </w:t>
      </w:r>
    </w:p>
    <w:p w14:paraId="5CCD67D2" w14:textId="77777777" w:rsidR="00B10C1F" w:rsidRPr="00AC55FF" w:rsidRDefault="00B10C1F" w:rsidP="00420E1D">
      <w:pPr>
        <w:jc w:val="both"/>
        <w:rPr>
          <w:rFonts w:ascii="Arial" w:hAnsi="Arial" w:cs="Arial"/>
        </w:rPr>
      </w:pPr>
    </w:p>
    <w:p w14:paraId="42C5D8BB" w14:textId="563BFF75" w:rsidR="00B10C1F" w:rsidRPr="00AC55FF" w:rsidRDefault="00B10C1F" w:rsidP="00420E1D">
      <w:pPr>
        <w:jc w:val="both"/>
        <w:rPr>
          <w:rFonts w:ascii="Arial" w:hAnsi="Arial" w:cs="Arial"/>
        </w:rPr>
      </w:pPr>
      <w:r w:rsidRPr="00AC55FF">
        <w:rPr>
          <w:rFonts w:ascii="Arial" w:hAnsi="Arial" w:cs="Arial"/>
        </w:rPr>
        <w:t xml:space="preserve">Člankom 52., st. </w:t>
      </w:r>
      <w:r w:rsidR="00012D0E">
        <w:rPr>
          <w:rFonts w:ascii="Arial" w:hAnsi="Arial" w:cs="Arial"/>
        </w:rPr>
        <w:t>2</w:t>
      </w:r>
      <w:r w:rsidRPr="00AC55FF">
        <w:rPr>
          <w:rFonts w:ascii="Arial" w:hAnsi="Arial" w:cs="Arial"/>
        </w:rPr>
        <w:t xml:space="preserve">. Pravilnika o </w:t>
      </w:r>
      <w:r w:rsidR="00012D0E">
        <w:rPr>
          <w:rFonts w:ascii="Arial" w:hAnsi="Arial" w:cs="Arial"/>
        </w:rPr>
        <w:t>polu</w:t>
      </w:r>
      <w:r w:rsidRPr="00AC55FF">
        <w:rPr>
          <w:rFonts w:ascii="Arial" w:hAnsi="Arial" w:cs="Arial"/>
        </w:rPr>
        <w:t>godišnjem i godišnjem izvještaju o izvršenju proračuna</w:t>
      </w:r>
      <w:r w:rsidR="00AC55FF">
        <w:rPr>
          <w:rFonts w:ascii="Arial" w:hAnsi="Arial" w:cs="Arial"/>
        </w:rPr>
        <w:t xml:space="preserve"> i financijskog plana </w:t>
      </w:r>
      <w:r w:rsidRPr="00AC55FF">
        <w:rPr>
          <w:rFonts w:ascii="Arial" w:hAnsi="Arial" w:cs="Arial"/>
        </w:rPr>
        <w:t xml:space="preserve">propisano je da se </w:t>
      </w:r>
      <w:r w:rsidR="00012D0E">
        <w:rPr>
          <w:rFonts w:ascii="Arial" w:hAnsi="Arial" w:cs="Arial"/>
        </w:rPr>
        <w:t>G</w:t>
      </w:r>
      <w:r w:rsidRPr="00AC55FF">
        <w:rPr>
          <w:rFonts w:ascii="Arial" w:hAnsi="Arial" w:cs="Arial"/>
        </w:rPr>
        <w:t xml:space="preserve">odišnji izvještaj proračunskog korisnika sastavlja za </w:t>
      </w:r>
      <w:r w:rsidR="00420E1D" w:rsidRPr="00AC55FF">
        <w:rPr>
          <w:rFonts w:ascii="Arial" w:hAnsi="Arial" w:cs="Arial"/>
        </w:rPr>
        <w:t>razdoblje od 1. siječnja do 3</w:t>
      </w:r>
      <w:r w:rsidR="00012D0E">
        <w:rPr>
          <w:rFonts w:ascii="Arial" w:hAnsi="Arial" w:cs="Arial"/>
        </w:rPr>
        <w:t>1</w:t>
      </w:r>
      <w:r w:rsidR="00420E1D" w:rsidRPr="00AC55FF">
        <w:rPr>
          <w:rFonts w:ascii="Arial" w:hAnsi="Arial" w:cs="Arial"/>
        </w:rPr>
        <w:t xml:space="preserve">. </w:t>
      </w:r>
      <w:r w:rsidR="00012D0E">
        <w:rPr>
          <w:rFonts w:ascii="Arial" w:hAnsi="Arial" w:cs="Arial"/>
        </w:rPr>
        <w:t>prosinca</w:t>
      </w:r>
      <w:r w:rsidR="00420E1D" w:rsidRPr="00AC55FF">
        <w:rPr>
          <w:rFonts w:ascii="Arial" w:hAnsi="Arial" w:cs="Arial"/>
        </w:rPr>
        <w:t xml:space="preserve"> tekuće proračunske godine</w:t>
      </w:r>
      <w:r w:rsidRPr="00AC55FF">
        <w:rPr>
          <w:rFonts w:ascii="Arial" w:hAnsi="Arial" w:cs="Arial"/>
        </w:rPr>
        <w:t xml:space="preserve">. Čl. 52., st. 3. istog pravilnika proračunski korisnik obvezan je do 31. </w:t>
      </w:r>
      <w:r w:rsidR="00012D0E">
        <w:rPr>
          <w:rFonts w:ascii="Arial" w:hAnsi="Arial" w:cs="Arial"/>
        </w:rPr>
        <w:t xml:space="preserve">ožujka slijedeće godine </w:t>
      </w:r>
      <w:r w:rsidRPr="00AC55FF">
        <w:rPr>
          <w:rFonts w:ascii="Arial" w:hAnsi="Arial" w:cs="Arial"/>
        </w:rPr>
        <w:t xml:space="preserve">dostaviti svom upravljačkom tijelu na usvajanje prijedlog godišnjeg izvještaja nakon čega ga dostavlja nadležnom upravnom tijelu. </w:t>
      </w:r>
    </w:p>
    <w:p w14:paraId="31142B48" w14:textId="77777777" w:rsidR="00B10C1F" w:rsidRPr="00847044" w:rsidRDefault="00B10C1F" w:rsidP="00420E1D">
      <w:pPr>
        <w:jc w:val="both"/>
        <w:rPr>
          <w:rFonts w:ascii="Arial" w:hAnsi="Arial" w:cs="Arial"/>
        </w:rPr>
      </w:pPr>
    </w:p>
    <w:p w14:paraId="77354D7F" w14:textId="7C44FAC7" w:rsidR="00420E1D" w:rsidRPr="008B4BB7" w:rsidRDefault="00420E1D" w:rsidP="00420E1D">
      <w:pPr>
        <w:jc w:val="both"/>
        <w:rPr>
          <w:rFonts w:ascii="Arial" w:hAnsi="Arial" w:cs="Arial"/>
        </w:rPr>
      </w:pPr>
      <w:r w:rsidRPr="00847044">
        <w:rPr>
          <w:rFonts w:ascii="Arial" w:hAnsi="Arial" w:cs="Arial"/>
        </w:rPr>
        <w:t xml:space="preserve">Sadržaj godišnjeg izvještaja o izvršenju </w:t>
      </w:r>
      <w:r w:rsidR="00AC55FF" w:rsidRPr="00847044">
        <w:rPr>
          <w:rFonts w:ascii="Arial" w:hAnsi="Arial" w:cs="Arial"/>
        </w:rPr>
        <w:t xml:space="preserve">financijskog plana </w:t>
      </w:r>
      <w:r w:rsidRPr="00847044">
        <w:rPr>
          <w:rFonts w:ascii="Arial" w:hAnsi="Arial" w:cs="Arial"/>
        </w:rPr>
        <w:t>propisan</w:t>
      </w:r>
      <w:r w:rsidR="00AC55FF" w:rsidRPr="00847044">
        <w:rPr>
          <w:rFonts w:ascii="Arial" w:hAnsi="Arial" w:cs="Arial"/>
        </w:rPr>
        <w:t>a</w:t>
      </w:r>
      <w:r w:rsidRPr="00847044">
        <w:rPr>
          <w:rFonts w:ascii="Arial" w:hAnsi="Arial" w:cs="Arial"/>
        </w:rPr>
        <w:t xml:space="preserve"> je čl. </w:t>
      </w:r>
      <w:r w:rsidR="00AC55FF" w:rsidRPr="00847044">
        <w:rPr>
          <w:rFonts w:ascii="Arial" w:hAnsi="Arial" w:cs="Arial"/>
        </w:rPr>
        <w:t>30</w:t>
      </w:r>
      <w:r w:rsidRPr="00847044">
        <w:rPr>
          <w:rFonts w:ascii="Arial" w:hAnsi="Arial" w:cs="Arial"/>
        </w:rPr>
        <w:t xml:space="preserve">. </w:t>
      </w:r>
      <w:r w:rsidR="00AC55FF" w:rsidRPr="00847044">
        <w:rPr>
          <w:rFonts w:ascii="Arial" w:hAnsi="Arial" w:cs="Arial"/>
        </w:rPr>
        <w:t xml:space="preserve">Pravilnika o polugodišnjem i godišnjem izvještaju o izvršenju proračuna i financijskog plana (dalje u tekstu: Pravilnik), a sadrži: </w:t>
      </w:r>
      <w:r w:rsidRPr="00847044">
        <w:rPr>
          <w:rFonts w:ascii="Arial" w:hAnsi="Arial" w:cs="Arial"/>
        </w:rPr>
        <w:t>opći</w:t>
      </w:r>
      <w:r w:rsidR="00AC55FF" w:rsidRPr="00847044">
        <w:rPr>
          <w:rFonts w:ascii="Arial" w:hAnsi="Arial" w:cs="Arial"/>
        </w:rPr>
        <w:t xml:space="preserve"> dio,</w:t>
      </w:r>
      <w:r w:rsidRPr="00847044">
        <w:rPr>
          <w:rFonts w:ascii="Arial" w:hAnsi="Arial" w:cs="Arial"/>
        </w:rPr>
        <w:t xml:space="preserve"> posebni dio, obrazloženje i posebne </w:t>
      </w:r>
      <w:r w:rsidRPr="008B4BB7">
        <w:rPr>
          <w:rFonts w:ascii="Arial" w:hAnsi="Arial" w:cs="Arial"/>
        </w:rPr>
        <w:t xml:space="preserve">izvještaje. </w:t>
      </w:r>
    </w:p>
    <w:p w14:paraId="172A1142" w14:textId="77777777" w:rsidR="00AC55FF" w:rsidRPr="008B4BB7" w:rsidRDefault="00AC55FF" w:rsidP="00420E1D">
      <w:pPr>
        <w:jc w:val="both"/>
        <w:rPr>
          <w:rFonts w:ascii="Arial" w:hAnsi="Arial" w:cs="Arial"/>
        </w:rPr>
      </w:pPr>
    </w:p>
    <w:p w14:paraId="52EAE637" w14:textId="172D5AA2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 xml:space="preserve">Sadržaj </w:t>
      </w:r>
      <w:r w:rsidRPr="008B4BB7">
        <w:rPr>
          <w:rFonts w:ascii="Arial" w:hAnsi="Arial" w:cs="Arial"/>
          <w:i/>
          <w:iCs/>
        </w:rPr>
        <w:t>općeg djela</w:t>
      </w:r>
      <w:r w:rsidRPr="008B4BB7">
        <w:rPr>
          <w:rFonts w:ascii="Arial" w:hAnsi="Arial" w:cs="Arial"/>
        </w:rPr>
        <w:t xml:space="preserve"> polugodišnjeg izvještaja o izvršenju </w:t>
      </w:r>
      <w:r w:rsidR="00AC55FF" w:rsidRPr="008B4BB7">
        <w:rPr>
          <w:rFonts w:ascii="Arial" w:hAnsi="Arial" w:cs="Arial"/>
        </w:rPr>
        <w:t>financijskog plana</w:t>
      </w:r>
      <w:r w:rsidRPr="008B4BB7">
        <w:rPr>
          <w:rFonts w:ascii="Arial" w:hAnsi="Arial" w:cs="Arial"/>
        </w:rPr>
        <w:t xml:space="preserve">, propisan je čl. </w:t>
      </w:r>
      <w:r w:rsidR="00AC55FF" w:rsidRPr="008B4BB7">
        <w:rPr>
          <w:rFonts w:ascii="Arial" w:hAnsi="Arial" w:cs="Arial"/>
        </w:rPr>
        <w:t xml:space="preserve">31. – 39. Pravilnika </w:t>
      </w:r>
      <w:r w:rsidRPr="008B4BB7">
        <w:rPr>
          <w:rFonts w:ascii="Arial" w:hAnsi="Arial" w:cs="Arial"/>
        </w:rPr>
        <w:t>i sadrži</w:t>
      </w:r>
      <w:r w:rsidR="00AC55FF" w:rsidRPr="008B4BB7">
        <w:rPr>
          <w:rFonts w:ascii="Arial" w:hAnsi="Arial" w:cs="Arial"/>
        </w:rPr>
        <w:t>:</w:t>
      </w:r>
      <w:r w:rsidRPr="008B4BB7">
        <w:rPr>
          <w:rFonts w:ascii="Arial" w:hAnsi="Arial" w:cs="Arial"/>
        </w:rPr>
        <w:t xml:space="preserve"> sažetak </w:t>
      </w:r>
      <w:r w:rsidR="00AC55FF" w:rsidRPr="008B4BB7">
        <w:rPr>
          <w:rFonts w:ascii="Arial" w:hAnsi="Arial" w:cs="Arial"/>
        </w:rPr>
        <w:t>R</w:t>
      </w:r>
      <w:r w:rsidRPr="008B4BB7">
        <w:rPr>
          <w:rFonts w:ascii="Arial" w:hAnsi="Arial" w:cs="Arial"/>
        </w:rPr>
        <w:t xml:space="preserve">ačuna prihoda i rashoda i </w:t>
      </w:r>
      <w:r w:rsidR="00AC55FF" w:rsidRPr="008B4BB7">
        <w:rPr>
          <w:rFonts w:ascii="Arial" w:hAnsi="Arial" w:cs="Arial"/>
        </w:rPr>
        <w:t>R</w:t>
      </w:r>
      <w:r w:rsidRPr="008B4BB7">
        <w:rPr>
          <w:rFonts w:ascii="Arial" w:hAnsi="Arial" w:cs="Arial"/>
        </w:rPr>
        <w:t>ačuna financiranja</w:t>
      </w:r>
      <w:r w:rsidR="00AC55FF" w:rsidRPr="008B4BB7">
        <w:rPr>
          <w:rFonts w:ascii="Arial" w:hAnsi="Arial" w:cs="Arial"/>
        </w:rPr>
        <w:t xml:space="preserve">, </w:t>
      </w:r>
      <w:r w:rsidRPr="008B4BB7">
        <w:rPr>
          <w:rFonts w:ascii="Arial" w:hAnsi="Arial" w:cs="Arial"/>
        </w:rPr>
        <w:t>račun prihoda i rashoda</w:t>
      </w:r>
      <w:r w:rsidR="00AC55FF" w:rsidRPr="008B4BB7">
        <w:rPr>
          <w:rFonts w:ascii="Arial" w:hAnsi="Arial" w:cs="Arial"/>
        </w:rPr>
        <w:t xml:space="preserve"> te</w:t>
      </w:r>
      <w:r w:rsidRPr="008B4BB7">
        <w:rPr>
          <w:rFonts w:ascii="Arial" w:hAnsi="Arial" w:cs="Arial"/>
        </w:rPr>
        <w:t xml:space="preserve"> račun financiranja.</w:t>
      </w:r>
    </w:p>
    <w:p w14:paraId="188EA72C" w14:textId="6C5F66DD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 xml:space="preserve">Sadržaj </w:t>
      </w:r>
      <w:r w:rsidRPr="008B4BB7">
        <w:rPr>
          <w:rFonts w:ascii="Arial" w:hAnsi="Arial" w:cs="Arial"/>
          <w:i/>
          <w:iCs/>
        </w:rPr>
        <w:t>posebnog dijela</w:t>
      </w:r>
      <w:r w:rsidRPr="008B4BB7">
        <w:rPr>
          <w:rFonts w:ascii="Arial" w:hAnsi="Arial" w:cs="Arial"/>
        </w:rPr>
        <w:t xml:space="preserve"> propisan je čl. </w:t>
      </w:r>
      <w:r w:rsidR="00AC55FF" w:rsidRPr="008B4BB7">
        <w:rPr>
          <w:rFonts w:ascii="Arial" w:hAnsi="Arial" w:cs="Arial"/>
        </w:rPr>
        <w:t>40. i 41. Pravilnika i</w:t>
      </w:r>
      <w:r w:rsidRPr="008B4BB7">
        <w:rPr>
          <w:rFonts w:ascii="Arial" w:hAnsi="Arial" w:cs="Arial"/>
        </w:rPr>
        <w:t xml:space="preserve"> sadrži izvršenje rashoda i izdataka </w:t>
      </w:r>
      <w:r w:rsidR="00AC55FF" w:rsidRPr="008B4BB7">
        <w:rPr>
          <w:rFonts w:ascii="Arial" w:hAnsi="Arial" w:cs="Arial"/>
        </w:rPr>
        <w:t>po</w:t>
      </w:r>
      <w:r w:rsidRPr="008B4BB7">
        <w:rPr>
          <w:rFonts w:ascii="Arial" w:hAnsi="Arial" w:cs="Arial"/>
        </w:rPr>
        <w:t xml:space="preserve"> izvorima financiranja i ekonomskoj klasifikaciji raspoređenih u programe koji se sastoje od aktivnosti i projekata.</w:t>
      </w:r>
    </w:p>
    <w:p w14:paraId="69268921" w14:textId="76C798EE" w:rsidR="008B4BB7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  <w:i/>
          <w:iCs/>
        </w:rPr>
        <w:t>Obrazloženje</w:t>
      </w:r>
      <w:r w:rsidR="00012D0E">
        <w:rPr>
          <w:rFonts w:ascii="Arial" w:hAnsi="Arial" w:cs="Arial"/>
          <w:i/>
          <w:iCs/>
        </w:rPr>
        <w:t xml:space="preserve"> godišnjeg i </w:t>
      </w:r>
      <w:r w:rsidRPr="008B4BB7">
        <w:rPr>
          <w:rFonts w:ascii="Arial" w:hAnsi="Arial" w:cs="Arial"/>
        </w:rPr>
        <w:t xml:space="preserve"> polugodišnjeg proračuna propisano je čl. </w:t>
      </w:r>
      <w:r w:rsidR="00AC55FF" w:rsidRPr="008B4BB7">
        <w:rPr>
          <w:rFonts w:ascii="Arial" w:hAnsi="Arial" w:cs="Arial"/>
        </w:rPr>
        <w:t>42.-45</w:t>
      </w:r>
      <w:r w:rsidRPr="008B4BB7">
        <w:rPr>
          <w:rFonts w:ascii="Arial" w:hAnsi="Arial" w:cs="Arial"/>
        </w:rPr>
        <w:t xml:space="preserve">. </w:t>
      </w:r>
      <w:r w:rsidR="008B4BB7" w:rsidRPr="008B4BB7">
        <w:rPr>
          <w:rFonts w:ascii="Arial" w:hAnsi="Arial" w:cs="Arial"/>
        </w:rPr>
        <w:t xml:space="preserve">Pravilnika </w:t>
      </w:r>
      <w:r w:rsidRPr="008B4BB7">
        <w:rPr>
          <w:rFonts w:ascii="Arial" w:hAnsi="Arial" w:cs="Arial"/>
        </w:rPr>
        <w:t xml:space="preserve">sastoji se od obrazloženja općeg dijela </w:t>
      </w:r>
      <w:r w:rsidR="008B4BB7" w:rsidRPr="008B4BB7">
        <w:rPr>
          <w:rFonts w:ascii="Arial" w:hAnsi="Arial" w:cs="Arial"/>
        </w:rPr>
        <w:t xml:space="preserve">izvještaja o izvršenju financijskog plana. </w:t>
      </w:r>
    </w:p>
    <w:p w14:paraId="01F62C5B" w14:textId="116237DA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>Čl</w:t>
      </w:r>
      <w:r w:rsidR="008B4BB7" w:rsidRPr="008B4BB7">
        <w:rPr>
          <w:rFonts w:ascii="Arial" w:hAnsi="Arial" w:cs="Arial"/>
        </w:rPr>
        <w:t xml:space="preserve">. 46.-51. Pravilnika </w:t>
      </w:r>
      <w:r w:rsidRPr="008B4BB7">
        <w:rPr>
          <w:rFonts w:ascii="Arial" w:hAnsi="Arial" w:cs="Arial"/>
        </w:rPr>
        <w:t xml:space="preserve">utvrđeno je da </w:t>
      </w:r>
      <w:r w:rsidRPr="008B4BB7">
        <w:rPr>
          <w:rFonts w:ascii="Arial" w:hAnsi="Arial" w:cs="Arial"/>
          <w:i/>
          <w:iCs/>
        </w:rPr>
        <w:t>posebni izvještaji</w:t>
      </w:r>
      <w:r w:rsidRPr="008B4BB7">
        <w:rPr>
          <w:rFonts w:ascii="Arial" w:hAnsi="Arial" w:cs="Arial"/>
        </w:rPr>
        <w:t xml:space="preserve"> </w:t>
      </w:r>
      <w:r w:rsidR="008B4BB7" w:rsidRPr="008B4BB7">
        <w:rPr>
          <w:rFonts w:ascii="Arial" w:hAnsi="Arial" w:cs="Arial"/>
        </w:rPr>
        <w:t xml:space="preserve">u </w:t>
      </w:r>
      <w:r w:rsidRPr="008B4BB7">
        <w:rPr>
          <w:rFonts w:ascii="Arial" w:hAnsi="Arial" w:cs="Arial"/>
        </w:rPr>
        <w:t xml:space="preserve">polugodišnjem izvještaju </w:t>
      </w:r>
      <w:r w:rsidR="008B4BB7" w:rsidRPr="008B4BB7">
        <w:rPr>
          <w:rFonts w:ascii="Arial" w:hAnsi="Arial" w:cs="Arial"/>
        </w:rPr>
        <w:t xml:space="preserve">je </w:t>
      </w:r>
      <w:r w:rsidRPr="008B4BB7">
        <w:rPr>
          <w:rFonts w:ascii="Arial" w:hAnsi="Arial" w:cs="Arial"/>
        </w:rPr>
        <w:t>izvještaj o zaduživanju na domaćem i stranom tržištu novca i kapitala</w:t>
      </w:r>
      <w:r w:rsidR="008B4BB7" w:rsidRPr="008B4BB7">
        <w:rPr>
          <w:rFonts w:ascii="Arial" w:hAnsi="Arial" w:cs="Arial"/>
        </w:rPr>
        <w:t>.</w:t>
      </w:r>
    </w:p>
    <w:p w14:paraId="692E2311" w14:textId="77777777" w:rsidR="008B4BB7" w:rsidRPr="008B4BB7" w:rsidRDefault="008B4BB7" w:rsidP="00420E1D">
      <w:pPr>
        <w:jc w:val="both"/>
        <w:rPr>
          <w:rFonts w:ascii="Arial" w:hAnsi="Arial" w:cs="Arial"/>
        </w:rPr>
      </w:pPr>
    </w:p>
    <w:p w14:paraId="389BD07E" w14:textId="50CA7EE8" w:rsidR="008B4BB7" w:rsidRPr="00E26442" w:rsidRDefault="00420E1D" w:rsidP="00420E1D">
      <w:pPr>
        <w:jc w:val="both"/>
        <w:rPr>
          <w:rFonts w:ascii="Arial" w:hAnsi="Arial" w:cs="Arial"/>
        </w:rPr>
      </w:pPr>
      <w:r w:rsidRPr="00E26442">
        <w:rPr>
          <w:rFonts w:ascii="Arial" w:hAnsi="Arial" w:cs="Arial"/>
        </w:rPr>
        <w:t xml:space="preserve">U skladu s odredbama Zakona i Pravilnika u općem i posebnom dijelu </w:t>
      </w:r>
      <w:r w:rsidR="008B4BB7" w:rsidRPr="00E26442">
        <w:rPr>
          <w:rFonts w:ascii="Arial" w:hAnsi="Arial" w:cs="Arial"/>
        </w:rPr>
        <w:t>financijskog plana</w:t>
      </w:r>
      <w:r w:rsidRPr="00E26442">
        <w:rPr>
          <w:rFonts w:ascii="Arial" w:hAnsi="Arial" w:cs="Arial"/>
        </w:rPr>
        <w:t xml:space="preserve"> prikazani su podaci o planiranim prihodima i primicima te rashodima i izdacima kroz </w:t>
      </w:r>
      <w:r w:rsidR="008B4BB7" w:rsidRPr="00E26442">
        <w:rPr>
          <w:rFonts w:ascii="Arial" w:hAnsi="Arial" w:cs="Arial"/>
        </w:rPr>
        <w:t>ostvarenje/izvršenje za izvještajno razdoblje prethodne godine, izvorni plan, tekući plan</w:t>
      </w:r>
      <w:r w:rsidR="00E26442">
        <w:rPr>
          <w:rFonts w:ascii="Arial" w:hAnsi="Arial" w:cs="Arial"/>
        </w:rPr>
        <w:t xml:space="preserve"> i</w:t>
      </w:r>
      <w:r w:rsidR="008B4BB7" w:rsidRPr="00E26442">
        <w:rPr>
          <w:rFonts w:ascii="Arial" w:hAnsi="Arial" w:cs="Arial"/>
        </w:rPr>
        <w:t xml:space="preserve"> </w:t>
      </w:r>
      <w:r w:rsidR="00E26442" w:rsidRPr="00E26442">
        <w:rPr>
          <w:rFonts w:ascii="Arial" w:hAnsi="Arial" w:cs="Arial"/>
        </w:rPr>
        <w:t>o</w:t>
      </w:r>
      <w:r w:rsidR="008B4BB7" w:rsidRPr="00E26442">
        <w:rPr>
          <w:rFonts w:ascii="Arial" w:hAnsi="Arial" w:cs="Arial"/>
        </w:rPr>
        <w:t xml:space="preserve">stvarenje/izvršenje </w:t>
      </w:r>
      <w:r w:rsidR="00E26442" w:rsidRPr="00E26442">
        <w:rPr>
          <w:rFonts w:ascii="Arial" w:hAnsi="Arial" w:cs="Arial"/>
        </w:rPr>
        <w:t>za izvještajno razdoblje</w:t>
      </w:r>
      <w:r w:rsidR="00E26442">
        <w:rPr>
          <w:rFonts w:ascii="Arial" w:hAnsi="Arial" w:cs="Arial"/>
        </w:rPr>
        <w:t>.</w:t>
      </w:r>
    </w:p>
    <w:p w14:paraId="55D7FD44" w14:textId="77777777" w:rsidR="008B4BB7" w:rsidRDefault="008B4BB7" w:rsidP="00420E1D">
      <w:pPr>
        <w:jc w:val="both"/>
        <w:rPr>
          <w:rFonts w:ascii="Arial" w:hAnsi="Arial" w:cs="Arial"/>
        </w:rPr>
      </w:pPr>
    </w:p>
    <w:p w14:paraId="78A75F34" w14:textId="77777777" w:rsidR="003C0921" w:rsidRDefault="003C0921" w:rsidP="004B5EA9">
      <w:pPr>
        <w:jc w:val="both"/>
        <w:rPr>
          <w:rFonts w:ascii="Arial" w:hAnsi="Arial" w:cs="Arial"/>
        </w:rPr>
      </w:pPr>
    </w:p>
    <w:p w14:paraId="3A940A5D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F33B533" w14:textId="77777777" w:rsidR="00012D0E" w:rsidRDefault="00012D0E" w:rsidP="004B5EA9">
      <w:pPr>
        <w:jc w:val="both"/>
        <w:rPr>
          <w:rFonts w:ascii="Arial" w:hAnsi="Arial" w:cs="Arial"/>
        </w:rPr>
      </w:pPr>
    </w:p>
    <w:p w14:paraId="43C2A796" w14:textId="77777777" w:rsidR="00012D0E" w:rsidRDefault="00012D0E" w:rsidP="004B5EA9">
      <w:pPr>
        <w:jc w:val="both"/>
        <w:rPr>
          <w:rFonts w:ascii="Arial" w:hAnsi="Arial" w:cs="Arial"/>
        </w:rPr>
      </w:pPr>
    </w:p>
    <w:p w14:paraId="39479D60" w14:textId="77777777" w:rsidR="00012D0E" w:rsidRDefault="00012D0E" w:rsidP="004B5EA9">
      <w:pPr>
        <w:jc w:val="both"/>
        <w:rPr>
          <w:rFonts w:ascii="Arial" w:hAnsi="Arial" w:cs="Arial"/>
        </w:rPr>
      </w:pPr>
    </w:p>
    <w:p w14:paraId="7B6B7FE3" w14:textId="77777777" w:rsidR="00012D0E" w:rsidRDefault="00012D0E" w:rsidP="004B5EA9">
      <w:pPr>
        <w:jc w:val="both"/>
        <w:rPr>
          <w:rFonts w:ascii="Arial" w:hAnsi="Arial" w:cs="Arial"/>
        </w:rPr>
      </w:pPr>
    </w:p>
    <w:p w14:paraId="7CC8882C" w14:textId="77777777" w:rsidR="00012D0E" w:rsidRDefault="00012D0E" w:rsidP="004B5EA9">
      <w:pPr>
        <w:jc w:val="both"/>
        <w:rPr>
          <w:rFonts w:ascii="Arial" w:hAnsi="Arial" w:cs="Arial"/>
        </w:rPr>
      </w:pPr>
    </w:p>
    <w:p w14:paraId="5783246C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951BE7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3AA1B606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DFC6D59" w14:textId="77777777" w:rsidR="00012D0E" w:rsidRDefault="00012D0E" w:rsidP="004B5EA9">
      <w:pPr>
        <w:jc w:val="both"/>
        <w:rPr>
          <w:rFonts w:ascii="Arial" w:hAnsi="Arial" w:cs="Arial"/>
        </w:rPr>
      </w:pPr>
    </w:p>
    <w:p w14:paraId="1C73876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AA90072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9BCC6D0" w14:textId="77777777" w:rsidR="00012D0E" w:rsidRDefault="00012D0E" w:rsidP="004B5EA9">
      <w:pPr>
        <w:jc w:val="both"/>
        <w:rPr>
          <w:rFonts w:ascii="Arial" w:hAnsi="Arial" w:cs="Arial"/>
        </w:rPr>
      </w:pPr>
    </w:p>
    <w:p w14:paraId="5ECAB8C5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77A0A75" w14:textId="77777777" w:rsidR="00012D0E" w:rsidRDefault="00012D0E" w:rsidP="004B5EA9">
      <w:pPr>
        <w:jc w:val="both"/>
        <w:rPr>
          <w:rFonts w:ascii="Arial" w:hAnsi="Arial" w:cs="Arial"/>
        </w:rPr>
      </w:pPr>
    </w:p>
    <w:p w14:paraId="02DE386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759140A" w14:textId="77777777" w:rsidR="00012D0E" w:rsidRPr="004B5EA9" w:rsidRDefault="00012D0E" w:rsidP="004B5EA9">
      <w:pPr>
        <w:jc w:val="both"/>
        <w:rPr>
          <w:rFonts w:ascii="Arial" w:hAnsi="Arial" w:cs="Arial"/>
        </w:rPr>
      </w:pPr>
    </w:p>
    <w:p w14:paraId="1FC481B8" w14:textId="77777777" w:rsidR="00420E1D" w:rsidRPr="007A5C25" w:rsidRDefault="00420E1D" w:rsidP="00420E1D">
      <w:pPr>
        <w:jc w:val="both"/>
        <w:rPr>
          <w:rFonts w:ascii="Arial" w:hAnsi="Arial" w:cs="Arial"/>
        </w:rPr>
      </w:pPr>
    </w:p>
    <w:p w14:paraId="50B1341A" w14:textId="77777777" w:rsidR="00420E1D" w:rsidRPr="00420E1D" w:rsidRDefault="00420E1D" w:rsidP="00420E1D">
      <w:pPr>
        <w:pStyle w:val="Naslov1"/>
      </w:pPr>
      <w:bookmarkStart w:id="1" w:name="_Toc115274741"/>
      <w:bookmarkStart w:id="2" w:name="_Toc141888384"/>
      <w:r w:rsidRPr="00420E1D">
        <w:t>OBRAZLOŽENJE OPĆEG DIJELA</w:t>
      </w:r>
      <w:bookmarkEnd w:id="1"/>
      <w:bookmarkEnd w:id="2"/>
    </w:p>
    <w:p w14:paraId="69C779C3" w14:textId="77777777" w:rsidR="00420E1D" w:rsidRPr="007A5C25" w:rsidRDefault="00420E1D" w:rsidP="00420E1D">
      <w:pPr>
        <w:rPr>
          <w:rFonts w:ascii="Arial" w:hAnsi="Arial" w:cs="Arial"/>
        </w:rPr>
      </w:pPr>
    </w:p>
    <w:p w14:paraId="2829DA7D" w14:textId="08A25986" w:rsidR="002731A5" w:rsidRDefault="00E7222A" w:rsidP="00A92097">
      <w:pPr>
        <w:ind w:firstLine="432"/>
        <w:jc w:val="both"/>
        <w:rPr>
          <w:rFonts w:ascii="Arial" w:hAnsi="Arial" w:cs="Arial"/>
        </w:rPr>
      </w:pPr>
      <w:r w:rsidRPr="00E7222A">
        <w:rPr>
          <w:rFonts w:ascii="Arial" w:hAnsi="Arial" w:cs="Arial"/>
        </w:rPr>
        <w:t xml:space="preserve">Financijski plan </w:t>
      </w:r>
      <w:r w:rsidR="00D55D20">
        <w:rPr>
          <w:rFonts w:ascii="Arial" w:hAnsi="Arial" w:cs="Arial"/>
        </w:rPr>
        <w:t xml:space="preserve">Javne vatrogasne postrojbe Buzet </w:t>
      </w:r>
      <w:r w:rsidRPr="00E7222A">
        <w:rPr>
          <w:rFonts w:ascii="Arial" w:hAnsi="Arial" w:cs="Arial"/>
        </w:rPr>
        <w:t>za 202</w:t>
      </w:r>
      <w:r w:rsidR="00F416DD">
        <w:rPr>
          <w:rFonts w:ascii="Arial" w:hAnsi="Arial" w:cs="Arial"/>
        </w:rPr>
        <w:t>5</w:t>
      </w:r>
      <w:r w:rsidRPr="00E7222A">
        <w:rPr>
          <w:rFonts w:ascii="Arial" w:hAnsi="Arial" w:cs="Arial"/>
        </w:rPr>
        <w:t xml:space="preserve">. godinu usvojen je na </w:t>
      </w:r>
      <w:r w:rsidR="00F416DD">
        <w:rPr>
          <w:rFonts w:ascii="Arial" w:hAnsi="Arial" w:cs="Arial"/>
        </w:rPr>
        <w:t>21</w:t>
      </w:r>
      <w:r w:rsidR="000A6502">
        <w:rPr>
          <w:rFonts w:ascii="Arial" w:hAnsi="Arial" w:cs="Arial"/>
        </w:rPr>
        <w:t>.</w:t>
      </w:r>
      <w:r w:rsidRPr="00E7222A">
        <w:rPr>
          <w:rFonts w:ascii="Arial" w:hAnsi="Arial" w:cs="Arial"/>
        </w:rPr>
        <w:t xml:space="preserve"> sjednici </w:t>
      </w:r>
      <w:r w:rsidR="0023299B">
        <w:rPr>
          <w:rFonts w:ascii="Arial" w:hAnsi="Arial" w:cs="Arial"/>
        </w:rPr>
        <w:t>Vatrogasnog vijeća Javne vatrogasne postrojbe Buzet</w:t>
      </w:r>
      <w:r w:rsidR="0023299B" w:rsidRPr="00E7222A">
        <w:rPr>
          <w:rFonts w:ascii="Arial" w:hAnsi="Arial" w:cs="Arial"/>
        </w:rPr>
        <w:t xml:space="preserve"> </w:t>
      </w:r>
      <w:r w:rsidRPr="00E7222A">
        <w:rPr>
          <w:rFonts w:ascii="Arial" w:hAnsi="Arial" w:cs="Arial"/>
        </w:rPr>
        <w:t xml:space="preserve">održanoj dana </w:t>
      </w:r>
      <w:r w:rsidR="00F416DD">
        <w:rPr>
          <w:rFonts w:ascii="Arial" w:hAnsi="Arial" w:cs="Arial"/>
        </w:rPr>
        <w:t>21</w:t>
      </w:r>
      <w:r w:rsidR="000A6502">
        <w:rPr>
          <w:rFonts w:ascii="Arial" w:hAnsi="Arial" w:cs="Arial"/>
        </w:rPr>
        <w:t>.</w:t>
      </w:r>
      <w:r w:rsidRPr="00E7222A">
        <w:rPr>
          <w:rFonts w:ascii="Arial" w:hAnsi="Arial" w:cs="Arial"/>
        </w:rPr>
        <w:t xml:space="preserve"> prosinca </w:t>
      </w:r>
      <w:r w:rsidR="00F416DD">
        <w:rPr>
          <w:rFonts w:ascii="Arial" w:hAnsi="Arial" w:cs="Arial"/>
        </w:rPr>
        <w:t>2024</w:t>
      </w:r>
      <w:r w:rsidRPr="00E7222A">
        <w:rPr>
          <w:rFonts w:ascii="Arial" w:hAnsi="Arial" w:cs="Arial"/>
        </w:rPr>
        <w:t>. godine.</w:t>
      </w:r>
      <w:r w:rsidR="006E487D">
        <w:rPr>
          <w:rFonts w:ascii="Arial" w:hAnsi="Arial" w:cs="Arial"/>
        </w:rPr>
        <w:t>, I. izmjene usvojene su na 28. sjednici Vatrogasnog vijeća  dana 10.09.2025. godine i II. izmjene financijskog plana JVP Buzet usvojene su na 30. sjednici Vatrogasnog vijeća dana 29.12.2025. godine</w:t>
      </w:r>
    </w:p>
    <w:p w14:paraId="261948F4" w14:textId="77777777" w:rsidR="0078054C" w:rsidRDefault="0078054C" w:rsidP="00A92097">
      <w:pPr>
        <w:jc w:val="both"/>
        <w:rPr>
          <w:rFonts w:ascii="Arial" w:hAnsi="Arial" w:cs="Arial"/>
        </w:rPr>
      </w:pPr>
    </w:p>
    <w:p w14:paraId="2C24A21E" w14:textId="79CAC835" w:rsidR="009424E1" w:rsidRDefault="000930D8" w:rsidP="00A920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Javna vatrogasna postrojba Buzet obavlja poslove u sklopu funkcija koje se decentraliziraju shodno Zakonu o vatrogastvu i Zakona o financiranju jedinica lokalne i područne (regionalne) samouprave.</w:t>
      </w:r>
    </w:p>
    <w:p w14:paraId="51F841E3" w14:textId="77777777" w:rsidR="000A6502" w:rsidRDefault="000A6502" w:rsidP="000A6502">
      <w:pPr>
        <w:jc w:val="center"/>
        <w:rPr>
          <w:rFonts w:ascii="Arial" w:hAnsi="Arial" w:cs="Arial"/>
        </w:rPr>
      </w:pPr>
    </w:p>
    <w:p w14:paraId="1454217E" w14:textId="77777777" w:rsidR="000A6502" w:rsidRPr="009A3308" w:rsidRDefault="000A6502" w:rsidP="000A6502">
      <w:pPr>
        <w:jc w:val="center"/>
        <w:rPr>
          <w:rFonts w:ascii="Arial" w:hAnsi="Arial" w:cs="Arial"/>
        </w:rPr>
      </w:pPr>
    </w:p>
    <w:p w14:paraId="1A05572A" w14:textId="77777777" w:rsidR="00D071C3" w:rsidRDefault="00D071C3" w:rsidP="00D071C3">
      <w:pPr>
        <w:jc w:val="both"/>
        <w:rPr>
          <w:rFonts w:ascii="Arial" w:hAnsi="Arial" w:cs="Arial"/>
          <w:b/>
          <w:bCs/>
        </w:rPr>
      </w:pPr>
      <w:r w:rsidRPr="009A3308">
        <w:rPr>
          <w:rFonts w:ascii="Arial" w:hAnsi="Arial" w:cs="Arial"/>
          <w:b/>
          <w:bCs/>
        </w:rPr>
        <w:t>SAŽETAK RAČUNA PRIHODA I RASHODA I RAČUNA FINANCIRANJA</w:t>
      </w:r>
    </w:p>
    <w:p w14:paraId="7249B1CD" w14:textId="77777777" w:rsidR="004E28B5" w:rsidRDefault="004E28B5" w:rsidP="00D071C3">
      <w:pPr>
        <w:jc w:val="both"/>
        <w:rPr>
          <w:rFonts w:ascii="Arial" w:hAnsi="Arial" w:cs="Arial"/>
          <w:b/>
          <w:bCs/>
        </w:rPr>
      </w:pPr>
    </w:p>
    <w:p w14:paraId="57748548" w14:textId="77777777" w:rsidR="004E28B5" w:rsidRDefault="004E28B5" w:rsidP="00D071C3">
      <w:pPr>
        <w:jc w:val="both"/>
        <w:rPr>
          <w:rFonts w:ascii="Arial" w:hAnsi="Arial" w:cs="Arial"/>
          <w:b/>
          <w:bCs/>
        </w:rPr>
      </w:pPr>
    </w:p>
    <w:p w14:paraId="07850787" w14:textId="12788C2B" w:rsidR="00E31D1F" w:rsidRDefault="00E31D1F" w:rsidP="00E31D1F">
      <w:pPr>
        <w:ind w:firstLine="708"/>
        <w:jc w:val="both"/>
        <w:rPr>
          <w:rFonts w:ascii="Arial" w:hAnsi="Arial" w:cs="Arial"/>
          <w:szCs w:val="20"/>
        </w:rPr>
      </w:pPr>
      <w:r w:rsidRPr="00E31D1F">
        <w:rPr>
          <w:rFonts w:ascii="Arial" w:hAnsi="Arial" w:cs="Arial"/>
          <w:szCs w:val="20"/>
        </w:rPr>
        <w:t xml:space="preserve">Javna vatrogasna postrojba </w:t>
      </w:r>
      <w:r>
        <w:rPr>
          <w:rFonts w:ascii="Arial" w:hAnsi="Arial" w:cs="Arial"/>
          <w:szCs w:val="20"/>
        </w:rPr>
        <w:t xml:space="preserve">Buzet </w:t>
      </w:r>
      <w:r w:rsidRPr="00E31D1F">
        <w:rPr>
          <w:rFonts w:ascii="Arial" w:hAnsi="Arial" w:cs="Arial"/>
          <w:szCs w:val="20"/>
        </w:rPr>
        <w:t xml:space="preserve"> proračunski je korisnik jedinica lokalne i područne samouprave. Osnovana je </w:t>
      </w:r>
      <w:r w:rsidR="00C422C5">
        <w:rPr>
          <w:rFonts w:ascii="Arial" w:hAnsi="Arial" w:cs="Arial"/>
          <w:szCs w:val="20"/>
        </w:rPr>
        <w:t>01.07.</w:t>
      </w:r>
      <w:r w:rsidRPr="00E31D1F">
        <w:rPr>
          <w:rFonts w:ascii="Arial" w:hAnsi="Arial" w:cs="Arial"/>
          <w:szCs w:val="20"/>
        </w:rPr>
        <w:t xml:space="preserve">2000. godine temeljem Zakona o vatrogastvu i Zakona o ustanovama, a osnovali su je Grad </w:t>
      </w:r>
      <w:r>
        <w:rPr>
          <w:rFonts w:ascii="Arial" w:hAnsi="Arial" w:cs="Arial"/>
          <w:szCs w:val="20"/>
        </w:rPr>
        <w:t>Buzet</w:t>
      </w:r>
      <w:r w:rsidRPr="00E31D1F">
        <w:rPr>
          <w:rFonts w:ascii="Arial" w:hAnsi="Arial" w:cs="Arial"/>
          <w:szCs w:val="20"/>
        </w:rPr>
        <w:t xml:space="preserve"> i Općin</w:t>
      </w:r>
      <w:r>
        <w:rPr>
          <w:rFonts w:ascii="Arial" w:hAnsi="Arial" w:cs="Arial"/>
          <w:szCs w:val="20"/>
        </w:rPr>
        <w:t xml:space="preserve">a </w:t>
      </w:r>
      <w:proofErr w:type="spellStart"/>
      <w:r>
        <w:rPr>
          <w:rFonts w:ascii="Arial" w:hAnsi="Arial" w:cs="Arial"/>
          <w:szCs w:val="20"/>
        </w:rPr>
        <w:t>Lanišće</w:t>
      </w:r>
      <w:proofErr w:type="spellEnd"/>
      <w:r>
        <w:rPr>
          <w:rFonts w:ascii="Arial" w:hAnsi="Arial" w:cs="Arial"/>
          <w:szCs w:val="20"/>
        </w:rPr>
        <w:t xml:space="preserve"> </w:t>
      </w:r>
      <w:r w:rsidRPr="00E31D1F">
        <w:rPr>
          <w:rFonts w:ascii="Arial" w:hAnsi="Arial" w:cs="Arial"/>
          <w:szCs w:val="20"/>
        </w:rPr>
        <w:t xml:space="preserve">Sporazumom o osnivanju javne vatrogasne postrojbe </w:t>
      </w:r>
      <w:r>
        <w:rPr>
          <w:rFonts w:ascii="Arial" w:hAnsi="Arial" w:cs="Arial"/>
          <w:szCs w:val="20"/>
        </w:rPr>
        <w:t>Buzet.</w:t>
      </w:r>
    </w:p>
    <w:p w14:paraId="3DF4DD33" w14:textId="77777777" w:rsidR="00C422C5" w:rsidRDefault="00C422C5" w:rsidP="00E31D1F">
      <w:pPr>
        <w:ind w:firstLine="708"/>
        <w:jc w:val="both"/>
        <w:rPr>
          <w:rFonts w:ascii="Arial" w:hAnsi="Arial" w:cs="Arial"/>
          <w:szCs w:val="20"/>
        </w:rPr>
      </w:pPr>
    </w:p>
    <w:p w14:paraId="09E416BB" w14:textId="75D6D081" w:rsidR="00E31D1F" w:rsidRPr="00C422C5" w:rsidRDefault="00E31D1F" w:rsidP="00C422C5">
      <w:pPr>
        <w:ind w:firstLine="708"/>
        <w:jc w:val="both"/>
        <w:rPr>
          <w:rFonts w:ascii="Arial" w:hAnsi="Arial" w:cs="Arial"/>
          <w:szCs w:val="20"/>
        </w:rPr>
      </w:pPr>
      <w:r w:rsidRPr="00E31D1F">
        <w:rPr>
          <w:rFonts w:ascii="Arial" w:hAnsi="Arial" w:cs="Arial"/>
          <w:szCs w:val="20"/>
        </w:rPr>
        <w:t xml:space="preserve"> </w:t>
      </w:r>
      <w:r w:rsidRPr="00E31D1F">
        <w:rPr>
          <w:rFonts w:ascii="Arial" w:hAnsi="Arial" w:cs="Arial"/>
          <w:szCs w:val="20"/>
        </w:rPr>
        <w:t>Financijski izvještaj za razdoblje od 01.01.2025. do 31.12.2025. godine sastavljen je prema odredbama Pravilnika o financijskom izvještavanju u proračunskom računovodstvu (Narodne novine, br. 37/22, 52/25, 56/25) i Okružnici Ministarstva financija o sastavljanju i predaji financijskih izvještaja proračuna, proračunskih i izvanproračunskih korisnika državnog proračuna te proračunskih i izvanproračunskih korisnika proračuna jedinica lokalne i područne (regionalne) samouprave za razdoblje 1. siječnja do 31. prosinca 2025 godine.</w:t>
      </w:r>
    </w:p>
    <w:p w14:paraId="7C9F5552" w14:textId="77777777" w:rsidR="00D071C3" w:rsidRPr="009A3308" w:rsidRDefault="00D071C3" w:rsidP="00420E1D">
      <w:pPr>
        <w:jc w:val="both"/>
        <w:rPr>
          <w:rFonts w:ascii="Arial" w:hAnsi="Arial" w:cs="Arial"/>
        </w:rPr>
      </w:pPr>
    </w:p>
    <w:p w14:paraId="7E378E61" w14:textId="0E2D1046" w:rsidR="005F510C" w:rsidRDefault="005F510C" w:rsidP="00C44EDA">
      <w:pPr>
        <w:ind w:firstLine="708"/>
        <w:jc w:val="both"/>
        <w:rPr>
          <w:rFonts w:ascii="Arial" w:hAnsi="Arial" w:cs="Arial"/>
        </w:rPr>
      </w:pPr>
      <w:r w:rsidRPr="009A3308">
        <w:rPr>
          <w:rFonts w:ascii="Arial" w:hAnsi="Arial" w:cs="Arial"/>
        </w:rPr>
        <w:t xml:space="preserve">Financijsko izvješće </w:t>
      </w:r>
      <w:r w:rsidR="000F6045">
        <w:rPr>
          <w:rFonts w:ascii="Arial" w:hAnsi="Arial" w:cs="Arial"/>
        </w:rPr>
        <w:t>Javne vatrogasne postrojbe Buzet</w:t>
      </w:r>
      <w:r w:rsidR="000F6045" w:rsidRPr="009A3308">
        <w:rPr>
          <w:rFonts w:ascii="Arial" w:hAnsi="Arial" w:cs="Arial"/>
        </w:rPr>
        <w:t xml:space="preserve"> </w:t>
      </w:r>
      <w:r w:rsidRPr="009A3308">
        <w:rPr>
          <w:rFonts w:ascii="Arial" w:hAnsi="Arial" w:cs="Arial"/>
        </w:rPr>
        <w:t>za razdoblje od 1.1.202</w:t>
      </w:r>
      <w:r w:rsidR="003D7952">
        <w:rPr>
          <w:rFonts w:ascii="Arial" w:hAnsi="Arial" w:cs="Arial"/>
        </w:rPr>
        <w:t>5</w:t>
      </w:r>
      <w:r w:rsidRPr="009A3308">
        <w:rPr>
          <w:rFonts w:ascii="Arial" w:hAnsi="Arial" w:cs="Arial"/>
        </w:rPr>
        <w:t xml:space="preserve">. – </w:t>
      </w:r>
      <w:r w:rsidR="00DF5197">
        <w:rPr>
          <w:rFonts w:ascii="Arial" w:hAnsi="Arial" w:cs="Arial"/>
        </w:rPr>
        <w:t>31</w:t>
      </w:r>
      <w:r w:rsidRPr="009A3308">
        <w:rPr>
          <w:rFonts w:ascii="Arial" w:hAnsi="Arial" w:cs="Arial"/>
        </w:rPr>
        <w:t>.</w:t>
      </w:r>
      <w:r w:rsidR="00DF5197">
        <w:rPr>
          <w:rFonts w:ascii="Arial" w:hAnsi="Arial" w:cs="Arial"/>
        </w:rPr>
        <w:t>12</w:t>
      </w:r>
      <w:r w:rsidRPr="009A3308">
        <w:rPr>
          <w:rFonts w:ascii="Arial" w:hAnsi="Arial" w:cs="Arial"/>
        </w:rPr>
        <w:t>.202</w:t>
      </w:r>
      <w:r w:rsidR="003D7952">
        <w:rPr>
          <w:rFonts w:ascii="Arial" w:hAnsi="Arial" w:cs="Arial"/>
        </w:rPr>
        <w:t>5</w:t>
      </w:r>
      <w:r w:rsidRPr="009A3308">
        <w:rPr>
          <w:rFonts w:ascii="Arial" w:hAnsi="Arial" w:cs="Arial"/>
        </w:rPr>
        <w:t>. godine sadrži</w:t>
      </w:r>
      <w:r w:rsidR="009A3308" w:rsidRPr="009A3308">
        <w:rPr>
          <w:rFonts w:ascii="Arial" w:hAnsi="Arial" w:cs="Arial"/>
        </w:rPr>
        <w:t xml:space="preserve"> ostvarenje prihoda i rashoda u izvještajnom razdoblju kako je prikazano u tablici. </w:t>
      </w:r>
    </w:p>
    <w:p w14:paraId="60DC69FB" w14:textId="77777777" w:rsidR="004E28B5" w:rsidRDefault="004E28B5" w:rsidP="00C44EDA">
      <w:pPr>
        <w:ind w:firstLine="708"/>
        <w:jc w:val="both"/>
        <w:rPr>
          <w:rFonts w:ascii="Arial" w:hAnsi="Arial" w:cs="Arial"/>
        </w:rPr>
      </w:pPr>
    </w:p>
    <w:p w14:paraId="17F0E03C" w14:textId="77777777" w:rsidR="004E28B5" w:rsidRDefault="004E28B5" w:rsidP="00C44EDA">
      <w:pPr>
        <w:ind w:firstLine="708"/>
        <w:jc w:val="both"/>
        <w:rPr>
          <w:rFonts w:ascii="Arial" w:hAnsi="Arial" w:cs="Arial"/>
        </w:rPr>
      </w:pPr>
    </w:p>
    <w:p w14:paraId="68DE3F09" w14:textId="77777777" w:rsidR="004E28B5" w:rsidRDefault="004E28B5" w:rsidP="00C44EDA">
      <w:pPr>
        <w:ind w:firstLine="708"/>
        <w:jc w:val="both"/>
        <w:rPr>
          <w:rFonts w:ascii="Arial" w:hAnsi="Arial" w:cs="Arial"/>
        </w:rPr>
      </w:pPr>
    </w:p>
    <w:p w14:paraId="78FE889F" w14:textId="77777777" w:rsidR="004E28B5" w:rsidRPr="009A3308" w:rsidRDefault="004E28B5" w:rsidP="00C44EDA">
      <w:pPr>
        <w:ind w:firstLine="708"/>
        <w:jc w:val="both"/>
        <w:rPr>
          <w:rFonts w:ascii="Arial" w:hAnsi="Arial" w:cs="Arial"/>
        </w:rPr>
      </w:pPr>
    </w:p>
    <w:p w14:paraId="55039002" w14:textId="77777777" w:rsidR="009A3308" w:rsidRPr="009A3308" w:rsidRDefault="009A3308" w:rsidP="00420E1D">
      <w:pPr>
        <w:jc w:val="both"/>
        <w:rPr>
          <w:rFonts w:ascii="Arial" w:hAnsi="Arial" w:cs="Arial"/>
        </w:rPr>
      </w:pPr>
    </w:p>
    <w:p w14:paraId="78C48729" w14:textId="4D09E30B" w:rsidR="004E28B5" w:rsidRDefault="00DF5197" w:rsidP="00420E1D">
      <w:pPr>
        <w:jc w:val="both"/>
        <w:rPr>
          <w:rFonts w:ascii="Arial" w:hAnsi="Arial" w:cs="Arial"/>
        </w:rPr>
      </w:pPr>
      <w:r w:rsidRPr="00DF5197">
        <w:rPr>
          <w:noProof/>
        </w:rPr>
        <w:drawing>
          <wp:inline distT="0" distB="0" distL="0" distR="0" wp14:anchorId="7C9572E6" wp14:editId="3A51E271">
            <wp:extent cx="6199505" cy="2238375"/>
            <wp:effectExtent l="0" t="0" r="0" b="9525"/>
            <wp:docPr id="9250963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29" cy="224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7C031" w14:textId="77777777" w:rsidR="004E28B5" w:rsidRPr="004E0B66" w:rsidRDefault="004E28B5" w:rsidP="00420E1D">
      <w:pPr>
        <w:jc w:val="both"/>
        <w:rPr>
          <w:rFonts w:ascii="Arial" w:hAnsi="Arial" w:cs="Arial"/>
        </w:rPr>
      </w:pPr>
    </w:p>
    <w:p w14:paraId="3B066CD9" w14:textId="25BB5C76" w:rsidR="00420E1D" w:rsidRDefault="00292C28" w:rsidP="00420E1D">
      <w:pPr>
        <w:pStyle w:val="Naslov2"/>
      </w:pPr>
      <w:bookmarkStart w:id="3" w:name="_Toc115274742"/>
      <w:bookmarkStart w:id="4" w:name="_Toc141888385"/>
      <w:proofErr w:type="spellStart"/>
      <w:r w:rsidRPr="004E0B66">
        <w:t>Prihodi</w:t>
      </w:r>
      <w:proofErr w:type="spellEnd"/>
      <w:r w:rsidRPr="004E0B66">
        <w:t xml:space="preserve"> i </w:t>
      </w:r>
      <w:proofErr w:type="spellStart"/>
      <w:r w:rsidRPr="004E0B66">
        <w:t>primici</w:t>
      </w:r>
      <w:bookmarkEnd w:id="3"/>
      <w:bookmarkEnd w:id="4"/>
      <w:proofErr w:type="spellEnd"/>
    </w:p>
    <w:p w14:paraId="11DEC982" w14:textId="77777777" w:rsidR="00207277" w:rsidRDefault="00207277" w:rsidP="00207277">
      <w:pPr>
        <w:rPr>
          <w:lang w:val="en-GB" w:eastAsia="en-US"/>
        </w:rPr>
      </w:pPr>
    </w:p>
    <w:p w14:paraId="36B829A8" w14:textId="17613BA6" w:rsidR="00207277" w:rsidRPr="00843AF1" w:rsidRDefault="00207277" w:rsidP="00207277">
      <w:pPr>
        <w:rPr>
          <w:rFonts w:ascii="Arial" w:hAnsi="Arial" w:cs="Arial"/>
          <w:lang w:val="en-GB" w:eastAsia="en-US"/>
        </w:rPr>
      </w:pPr>
      <w:proofErr w:type="spellStart"/>
      <w:r w:rsidRPr="00843AF1">
        <w:rPr>
          <w:rFonts w:ascii="Arial" w:hAnsi="Arial" w:cs="Arial"/>
          <w:lang w:val="en-GB" w:eastAsia="en-US"/>
        </w:rPr>
        <w:t>Poslovni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rezultat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izvršenja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r w:rsidR="004C7362" w:rsidRPr="00843AF1">
        <w:rPr>
          <w:rFonts w:ascii="Arial" w:hAnsi="Arial" w:cs="Arial"/>
          <w:lang w:val="en-GB" w:eastAsia="en-US"/>
        </w:rPr>
        <w:t xml:space="preserve">plana </w:t>
      </w:r>
      <w:proofErr w:type="spellStart"/>
      <w:r w:rsidRPr="00843AF1">
        <w:rPr>
          <w:rFonts w:ascii="Arial" w:hAnsi="Arial" w:cs="Arial"/>
          <w:lang w:val="en-GB" w:eastAsia="en-US"/>
        </w:rPr>
        <w:t>Javne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vatrogasne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postrojbe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Buzet za </w:t>
      </w:r>
      <w:proofErr w:type="spellStart"/>
      <w:r w:rsidRPr="00843AF1">
        <w:rPr>
          <w:rFonts w:ascii="Arial" w:hAnsi="Arial" w:cs="Arial"/>
          <w:lang w:val="en-GB" w:eastAsia="en-US"/>
        </w:rPr>
        <w:t>razdoblje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siječanj</w:t>
      </w:r>
      <w:proofErr w:type="spellEnd"/>
      <w:r w:rsidRPr="00843AF1">
        <w:rPr>
          <w:rFonts w:ascii="Arial" w:hAnsi="Arial" w:cs="Arial"/>
          <w:lang w:val="en-GB" w:eastAsia="en-US"/>
        </w:rPr>
        <w:t xml:space="preserve"> – </w:t>
      </w:r>
      <w:proofErr w:type="spellStart"/>
      <w:r w:rsidR="005818AD">
        <w:rPr>
          <w:rFonts w:ascii="Arial" w:hAnsi="Arial" w:cs="Arial"/>
          <w:lang w:val="en-GB" w:eastAsia="en-US"/>
        </w:rPr>
        <w:t>prosinac</w:t>
      </w:r>
      <w:proofErr w:type="spellEnd"/>
      <w:r w:rsidRPr="00843AF1">
        <w:rPr>
          <w:rFonts w:ascii="Arial" w:hAnsi="Arial" w:cs="Arial"/>
          <w:lang w:val="en-GB" w:eastAsia="en-US"/>
        </w:rPr>
        <w:t xml:space="preserve"> 202</w:t>
      </w:r>
      <w:r w:rsidR="0065363C">
        <w:rPr>
          <w:rFonts w:ascii="Arial" w:hAnsi="Arial" w:cs="Arial"/>
          <w:lang w:val="en-GB" w:eastAsia="en-US"/>
        </w:rPr>
        <w:t>5</w:t>
      </w:r>
      <w:r w:rsidRPr="00843AF1">
        <w:rPr>
          <w:rFonts w:ascii="Arial" w:hAnsi="Arial" w:cs="Arial"/>
          <w:lang w:val="en-GB" w:eastAsia="en-US"/>
        </w:rPr>
        <w:t xml:space="preserve">. </w:t>
      </w:r>
      <w:proofErr w:type="spellStart"/>
      <w:r w:rsidRPr="00843AF1">
        <w:rPr>
          <w:rFonts w:ascii="Arial" w:hAnsi="Arial" w:cs="Arial"/>
          <w:lang w:val="en-GB" w:eastAsia="en-US"/>
        </w:rPr>
        <w:t>godine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sadrži</w:t>
      </w:r>
      <w:proofErr w:type="spellEnd"/>
      <w:r w:rsidRPr="00843AF1">
        <w:rPr>
          <w:rFonts w:ascii="Arial" w:hAnsi="Arial" w:cs="Arial"/>
          <w:lang w:val="en-GB" w:eastAsia="en-US"/>
        </w:rPr>
        <w:t>:</w:t>
      </w:r>
    </w:p>
    <w:p w14:paraId="008A94FB" w14:textId="77777777" w:rsidR="00420E1D" w:rsidRPr="004E0B66" w:rsidRDefault="00420E1D" w:rsidP="00420E1D">
      <w:pPr>
        <w:jc w:val="both"/>
        <w:rPr>
          <w:rFonts w:ascii="Arial" w:hAnsi="Arial" w:cs="Arial"/>
          <w:bCs/>
        </w:rPr>
      </w:pPr>
    </w:p>
    <w:p w14:paraId="785E8D57" w14:textId="28EE5992" w:rsidR="00E63F2B" w:rsidRDefault="00E63F2B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Ostvarenje prihoda poslovanja iznosi </w:t>
      </w:r>
      <w:r w:rsidR="005818AD">
        <w:rPr>
          <w:rFonts w:ascii="Arial" w:hAnsi="Arial" w:cs="Arial"/>
          <w:bCs/>
        </w:rPr>
        <w:t>837.322,04</w:t>
      </w:r>
      <w:r w:rsidR="0065363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eura, dok ukupni rashodi i izdaci poslovanja iznose </w:t>
      </w:r>
      <w:r w:rsidR="005818AD">
        <w:rPr>
          <w:rFonts w:ascii="Arial" w:hAnsi="Arial" w:cs="Arial"/>
          <w:bCs/>
        </w:rPr>
        <w:t>843.269,68</w:t>
      </w:r>
      <w:r>
        <w:rPr>
          <w:rFonts w:ascii="Arial" w:hAnsi="Arial" w:cs="Arial"/>
          <w:bCs/>
        </w:rPr>
        <w:t xml:space="preserve"> eura, što rezultira </w:t>
      </w:r>
      <w:r w:rsidR="0065363C">
        <w:rPr>
          <w:rFonts w:ascii="Arial" w:hAnsi="Arial" w:cs="Arial"/>
          <w:bCs/>
        </w:rPr>
        <w:t>manjak</w:t>
      </w:r>
      <w:r>
        <w:rPr>
          <w:rFonts w:ascii="Arial" w:hAnsi="Arial" w:cs="Arial"/>
          <w:bCs/>
        </w:rPr>
        <w:t xml:space="preserve"> prihoda poslovanja u iznosu od</w:t>
      </w:r>
      <w:r w:rsidR="0065363C">
        <w:rPr>
          <w:rFonts w:ascii="Arial" w:hAnsi="Arial" w:cs="Arial"/>
          <w:bCs/>
        </w:rPr>
        <w:t xml:space="preserve"> </w:t>
      </w:r>
      <w:r w:rsidR="005818AD">
        <w:rPr>
          <w:rFonts w:ascii="Arial" w:hAnsi="Arial" w:cs="Arial"/>
          <w:bCs/>
        </w:rPr>
        <w:t>5.947,64</w:t>
      </w:r>
      <w:r w:rsidR="008F402E">
        <w:rPr>
          <w:rFonts w:ascii="Arial" w:hAnsi="Arial" w:cs="Arial"/>
          <w:bCs/>
        </w:rPr>
        <w:t xml:space="preserve"> eura.</w:t>
      </w:r>
    </w:p>
    <w:p w14:paraId="0FFE9832" w14:textId="1C93FAB3" w:rsidR="00E63F2B" w:rsidRDefault="0065363C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Manjak</w:t>
      </w:r>
      <w:r w:rsidR="00E63F2B">
        <w:rPr>
          <w:rFonts w:ascii="Arial" w:hAnsi="Arial" w:cs="Arial"/>
          <w:bCs/>
        </w:rPr>
        <w:t xml:space="preserve"> prihoda nad rashodima iznosi </w:t>
      </w:r>
      <w:r w:rsidR="005818AD">
        <w:rPr>
          <w:rFonts w:ascii="Arial" w:hAnsi="Arial" w:cs="Arial"/>
          <w:bCs/>
        </w:rPr>
        <w:t>5.947,64</w:t>
      </w:r>
      <w:r w:rsidR="00E63F2B">
        <w:rPr>
          <w:rFonts w:ascii="Arial" w:hAnsi="Arial" w:cs="Arial"/>
          <w:bCs/>
        </w:rPr>
        <w:t xml:space="preserve"> eura.</w:t>
      </w:r>
    </w:p>
    <w:p w14:paraId="53ED7067" w14:textId="77777777" w:rsidR="00E63F2B" w:rsidRDefault="00E63F2B" w:rsidP="00E63F2B">
      <w:pPr>
        <w:ind w:firstLine="576"/>
        <w:jc w:val="both"/>
        <w:rPr>
          <w:rFonts w:ascii="Arial" w:hAnsi="Arial" w:cs="Arial"/>
          <w:bCs/>
        </w:rPr>
      </w:pPr>
    </w:p>
    <w:p w14:paraId="67886452" w14:textId="6CD8E41F" w:rsidR="00076A75" w:rsidRDefault="00E641B4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Manjak</w:t>
      </w:r>
      <w:r w:rsidR="00E63F2B">
        <w:rPr>
          <w:rFonts w:ascii="Arial" w:hAnsi="Arial" w:cs="Arial"/>
          <w:bCs/>
        </w:rPr>
        <w:t xml:space="preserve"> prihoda nad rashodima u iznosu od </w:t>
      </w:r>
      <w:r w:rsidR="005818AD">
        <w:rPr>
          <w:rFonts w:ascii="Arial" w:hAnsi="Arial" w:cs="Arial"/>
          <w:bCs/>
        </w:rPr>
        <w:t>5.947,64</w:t>
      </w:r>
      <w:r w:rsidR="00E63F2B">
        <w:rPr>
          <w:rFonts w:ascii="Arial" w:hAnsi="Arial" w:cs="Arial"/>
          <w:bCs/>
        </w:rPr>
        <w:t xml:space="preserve"> i višak prihoda iz prethodne godine u iznosu od </w:t>
      </w:r>
      <w:r>
        <w:rPr>
          <w:rFonts w:ascii="Arial" w:hAnsi="Arial" w:cs="Arial"/>
          <w:bCs/>
        </w:rPr>
        <w:t>16.378,42</w:t>
      </w:r>
      <w:r w:rsidR="008F402E">
        <w:rPr>
          <w:rFonts w:ascii="Arial" w:hAnsi="Arial" w:cs="Arial"/>
          <w:bCs/>
        </w:rPr>
        <w:t xml:space="preserve"> eura</w:t>
      </w:r>
      <w:r w:rsidR="00E63F2B">
        <w:rPr>
          <w:rFonts w:ascii="Arial" w:hAnsi="Arial" w:cs="Arial"/>
          <w:bCs/>
        </w:rPr>
        <w:t xml:space="preserve"> čini ukupni višak prihoda od </w:t>
      </w:r>
      <w:r w:rsidR="008F402E">
        <w:rPr>
          <w:rFonts w:ascii="Arial" w:hAnsi="Arial" w:cs="Arial"/>
          <w:bCs/>
        </w:rPr>
        <w:t>1</w:t>
      </w:r>
      <w:r w:rsidR="005818AD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.</w:t>
      </w:r>
      <w:r w:rsidR="005818AD">
        <w:rPr>
          <w:rFonts w:ascii="Arial" w:hAnsi="Arial" w:cs="Arial"/>
          <w:bCs/>
        </w:rPr>
        <w:t>430,78</w:t>
      </w:r>
      <w:r w:rsidR="00E63F2B">
        <w:rPr>
          <w:rFonts w:ascii="Arial" w:hAnsi="Arial" w:cs="Arial"/>
          <w:bCs/>
        </w:rPr>
        <w:t xml:space="preserve"> eura.</w:t>
      </w:r>
    </w:p>
    <w:p w14:paraId="635B9C77" w14:textId="77777777" w:rsidR="004E28B5" w:rsidRDefault="004E28B5" w:rsidP="00E63F2B">
      <w:pPr>
        <w:ind w:firstLine="576"/>
        <w:jc w:val="both"/>
        <w:rPr>
          <w:rFonts w:ascii="Arial" w:hAnsi="Arial" w:cs="Arial"/>
          <w:bCs/>
        </w:rPr>
      </w:pPr>
    </w:p>
    <w:p w14:paraId="0D680648" w14:textId="77777777" w:rsidR="004E28B5" w:rsidRDefault="004E28B5" w:rsidP="00E63F2B">
      <w:pPr>
        <w:ind w:firstLine="576"/>
        <w:jc w:val="both"/>
        <w:rPr>
          <w:rFonts w:ascii="Arial" w:hAnsi="Arial" w:cs="Arial"/>
          <w:bCs/>
        </w:rPr>
      </w:pPr>
    </w:p>
    <w:p w14:paraId="3DC0673B" w14:textId="77777777" w:rsidR="004E28B5" w:rsidRDefault="004E28B5" w:rsidP="00E63F2B">
      <w:pPr>
        <w:ind w:firstLine="576"/>
        <w:jc w:val="both"/>
        <w:rPr>
          <w:rFonts w:ascii="Arial" w:hAnsi="Arial" w:cs="Arial"/>
          <w:bCs/>
        </w:rPr>
      </w:pPr>
    </w:p>
    <w:p w14:paraId="1C7B9974" w14:textId="77777777" w:rsidR="000930D8" w:rsidRDefault="000930D8" w:rsidP="00E63F2B">
      <w:pPr>
        <w:ind w:firstLine="576"/>
        <w:jc w:val="both"/>
        <w:rPr>
          <w:rFonts w:ascii="Arial" w:hAnsi="Arial" w:cs="Arial"/>
          <w:bCs/>
        </w:rPr>
      </w:pPr>
    </w:p>
    <w:tbl>
      <w:tblPr>
        <w:tblW w:w="94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5680"/>
        <w:gridCol w:w="1400"/>
        <w:gridCol w:w="1400"/>
      </w:tblGrid>
      <w:tr w:rsidR="00071E2A" w14:paraId="77B0E0B1" w14:textId="77777777" w:rsidTr="00B66EB6">
        <w:trPr>
          <w:trHeight w:val="510"/>
        </w:trPr>
        <w:tc>
          <w:tcPr>
            <w:tcW w:w="940" w:type="dxa"/>
            <w:shd w:val="clear" w:color="000000" w:fill="E7E6E6"/>
            <w:vAlign w:val="center"/>
            <w:hideMark/>
          </w:tcPr>
          <w:p w14:paraId="1C4003AB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680" w:type="dxa"/>
            <w:shd w:val="clear" w:color="000000" w:fill="E7E6E6"/>
            <w:vAlign w:val="center"/>
            <w:hideMark/>
          </w:tcPr>
          <w:p w14:paraId="5ED979E1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PRIHODA / RASHODA 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349EC1F4" w14:textId="2C433E82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PLAN 202</w:t>
            </w:r>
            <w:r w:rsidR="00D33A0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498383E2" w14:textId="685A3FBA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202</w:t>
            </w:r>
            <w:r w:rsidR="00D33A0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71E2A" w14:paraId="6196ECFD" w14:textId="77777777" w:rsidTr="00B66EB6">
        <w:trPr>
          <w:trHeight w:val="255"/>
        </w:trPr>
        <w:tc>
          <w:tcPr>
            <w:tcW w:w="940" w:type="dxa"/>
            <w:shd w:val="clear" w:color="000000" w:fill="E7E6E6"/>
            <w:vAlign w:val="center"/>
            <w:hideMark/>
          </w:tcPr>
          <w:p w14:paraId="57A8EF45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0" w:type="dxa"/>
            <w:shd w:val="clear" w:color="000000" w:fill="E7E6E6"/>
            <w:vAlign w:val="center"/>
            <w:hideMark/>
          </w:tcPr>
          <w:p w14:paraId="06F00568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5618D330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116AAA7D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071E2A" w14:paraId="2BB44F46" w14:textId="77777777" w:rsidTr="00B66EB6">
        <w:trPr>
          <w:trHeight w:val="255"/>
        </w:trPr>
        <w:tc>
          <w:tcPr>
            <w:tcW w:w="6620" w:type="dxa"/>
            <w:gridSpan w:val="2"/>
            <w:shd w:val="clear" w:color="000000" w:fill="AEAAAA"/>
            <w:noWrap/>
            <w:vAlign w:val="bottom"/>
            <w:hideMark/>
          </w:tcPr>
          <w:p w14:paraId="760E99E5" w14:textId="77777777" w:rsidR="00071E2A" w:rsidRDefault="00071E2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400" w:type="dxa"/>
            <w:shd w:val="clear" w:color="000000" w:fill="AEAAAA"/>
            <w:noWrap/>
            <w:vAlign w:val="bottom"/>
            <w:hideMark/>
          </w:tcPr>
          <w:p w14:paraId="428FF0FD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000000" w:fill="AEAAAA"/>
            <w:noWrap/>
            <w:vAlign w:val="bottom"/>
            <w:hideMark/>
          </w:tcPr>
          <w:p w14:paraId="271CE01F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71E2A" w14:paraId="3E556CFA" w14:textId="77777777" w:rsidTr="00852D77">
        <w:trPr>
          <w:trHeight w:val="255"/>
        </w:trPr>
        <w:tc>
          <w:tcPr>
            <w:tcW w:w="940" w:type="dxa"/>
            <w:shd w:val="clear" w:color="000000" w:fill="BDD7EE"/>
            <w:noWrap/>
            <w:vAlign w:val="bottom"/>
            <w:hideMark/>
          </w:tcPr>
          <w:p w14:paraId="3F51E93A" w14:textId="77777777" w:rsidR="00071E2A" w:rsidRDefault="00071E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80" w:type="dxa"/>
            <w:shd w:val="clear" w:color="000000" w:fill="BDD7EE"/>
            <w:noWrap/>
            <w:vAlign w:val="bottom"/>
            <w:hideMark/>
          </w:tcPr>
          <w:p w14:paraId="446D23C5" w14:textId="77777777" w:rsidR="00071E2A" w:rsidRDefault="00071E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400" w:type="dxa"/>
            <w:shd w:val="clear" w:color="000000" w:fill="BDD7EE"/>
            <w:noWrap/>
            <w:vAlign w:val="bottom"/>
          </w:tcPr>
          <w:p w14:paraId="4C7D724D" w14:textId="05ABE431" w:rsidR="00071E2A" w:rsidRDefault="00852D7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843.930,67</w:t>
            </w:r>
          </w:p>
        </w:tc>
        <w:tc>
          <w:tcPr>
            <w:tcW w:w="1400" w:type="dxa"/>
            <w:shd w:val="clear" w:color="000000" w:fill="BDD7EE"/>
            <w:noWrap/>
            <w:vAlign w:val="bottom"/>
          </w:tcPr>
          <w:p w14:paraId="0396E126" w14:textId="5126F9D2" w:rsidR="00071E2A" w:rsidRDefault="00852D7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837.322,04</w:t>
            </w:r>
          </w:p>
        </w:tc>
      </w:tr>
      <w:tr w:rsidR="00071E2A" w14:paraId="2885DB62" w14:textId="77777777" w:rsidTr="00B66EB6">
        <w:trPr>
          <w:trHeight w:val="510"/>
        </w:trPr>
        <w:tc>
          <w:tcPr>
            <w:tcW w:w="940" w:type="dxa"/>
            <w:noWrap/>
            <w:vAlign w:val="bottom"/>
            <w:hideMark/>
          </w:tcPr>
          <w:p w14:paraId="6E4294F9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680" w:type="dxa"/>
            <w:vAlign w:val="bottom"/>
            <w:hideMark/>
          </w:tcPr>
          <w:p w14:paraId="0B5A12B7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00" w:type="dxa"/>
            <w:noWrap/>
            <w:vAlign w:val="bottom"/>
            <w:hideMark/>
          </w:tcPr>
          <w:p w14:paraId="7AE4EF84" w14:textId="75504369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noWrap/>
            <w:vAlign w:val="bottom"/>
            <w:hideMark/>
          </w:tcPr>
          <w:p w14:paraId="3BC59C48" w14:textId="791925BA" w:rsidR="00071E2A" w:rsidRDefault="0066111F" w:rsidP="00CF6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71E2A" w:rsidRPr="00573408" w14:paraId="3E70B649" w14:textId="77777777" w:rsidTr="00B66EB6">
        <w:trPr>
          <w:trHeight w:val="255"/>
        </w:trPr>
        <w:tc>
          <w:tcPr>
            <w:tcW w:w="940" w:type="dxa"/>
            <w:noWrap/>
            <w:vAlign w:val="bottom"/>
            <w:hideMark/>
          </w:tcPr>
          <w:p w14:paraId="323E0A35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5680" w:type="dxa"/>
            <w:noWrap/>
            <w:vAlign w:val="bottom"/>
            <w:hideMark/>
          </w:tcPr>
          <w:p w14:paraId="111A514C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Pomoći proračunu iz drugih proračuna</w:t>
            </w:r>
          </w:p>
        </w:tc>
        <w:tc>
          <w:tcPr>
            <w:tcW w:w="1400" w:type="dxa"/>
            <w:noWrap/>
            <w:vAlign w:val="bottom"/>
            <w:hideMark/>
          </w:tcPr>
          <w:p w14:paraId="141BE1D8" w14:textId="13A44ED6" w:rsidR="00071E2A" w:rsidRPr="00573408" w:rsidRDefault="004C7362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noWrap/>
            <w:vAlign w:val="bottom"/>
            <w:hideMark/>
          </w:tcPr>
          <w:p w14:paraId="0CB3E966" w14:textId="0FA336CF" w:rsidR="00071E2A" w:rsidRPr="00573408" w:rsidRDefault="006611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70B8E" w:rsidRPr="00573408" w14:paraId="6004D0B8" w14:textId="77777777" w:rsidTr="00B66EB6">
        <w:trPr>
          <w:trHeight w:val="255"/>
        </w:trPr>
        <w:tc>
          <w:tcPr>
            <w:tcW w:w="940" w:type="dxa"/>
            <w:noWrap/>
            <w:vAlign w:val="bottom"/>
          </w:tcPr>
          <w:p w14:paraId="41B2645C" w14:textId="45F9C828" w:rsidR="00470B8E" w:rsidRPr="00573408" w:rsidRDefault="00470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5680" w:type="dxa"/>
            <w:noWrap/>
            <w:vAlign w:val="bottom"/>
          </w:tcPr>
          <w:p w14:paraId="73C10079" w14:textId="13E731FA" w:rsidR="00470B8E" w:rsidRPr="00573408" w:rsidRDefault="00470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 - HVZ</w:t>
            </w:r>
          </w:p>
        </w:tc>
        <w:tc>
          <w:tcPr>
            <w:tcW w:w="1400" w:type="dxa"/>
            <w:noWrap/>
            <w:vAlign w:val="bottom"/>
          </w:tcPr>
          <w:p w14:paraId="4E3C271B" w14:textId="5BF5D248" w:rsidR="00470B8E" w:rsidRDefault="00CF6A29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noWrap/>
            <w:vAlign w:val="bottom"/>
          </w:tcPr>
          <w:p w14:paraId="74B5081A" w14:textId="1636FE74" w:rsidR="00470B8E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71E2A" w14:paraId="3E2D063A" w14:textId="77777777" w:rsidTr="00B66EB6">
        <w:trPr>
          <w:trHeight w:val="255"/>
        </w:trPr>
        <w:tc>
          <w:tcPr>
            <w:tcW w:w="940" w:type="dxa"/>
            <w:noWrap/>
            <w:vAlign w:val="bottom"/>
            <w:hideMark/>
          </w:tcPr>
          <w:p w14:paraId="5EE0B07E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680" w:type="dxa"/>
            <w:noWrap/>
            <w:vAlign w:val="bottom"/>
            <w:hideMark/>
          </w:tcPr>
          <w:p w14:paraId="6CDFB9B2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400" w:type="dxa"/>
            <w:noWrap/>
            <w:vAlign w:val="bottom"/>
            <w:hideMark/>
          </w:tcPr>
          <w:p w14:paraId="6F15E387" w14:textId="5C0036C8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noWrap/>
            <w:vAlign w:val="bottom"/>
            <w:hideMark/>
          </w:tcPr>
          <w:p w14:paraId="35C69207" w14:textId="7C1C88F3" w:rsidR="00071E2A" w:rsidRDefault="00071E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  <w:r w:rsidR="00CF6A2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71E2A" w:rsidRPr="00573408" w14:paraId="30587F83" w14:textId="77777777" w:rsidTr="00B66EB6">
        <w:trPr>
          <w:trHeight w:val="255"/>
        </w:trPr>
        <w:tc>
          <w:tcPr>
            <w:tcW w:w="940" w:type="dxa"/>
            <w:noWrap/>
            <w:vAlign w:val="bottom"/>
            <w:hideMark/>
          </w:tcPr>
          <w:p w14:paraId="6054A188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5680" w:type="dxa"/>
            <w:noWrap/>
            <w:vAlign w:val="bottom"/>
            <w:hideMark/>
          </w:tcPr>
          <w:p w14:paraId="29C5BCAB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financijske imovine</w:t>
            </w:r>
          </w:p>
        </w:tc>
        <w:tc>
          <w:tcPr>
            <w:tcW w:w="1400" w:type="dxa"/>
            <w:noWrap/>
            <w:vAlign w:val="bottom"/>
            <w:hideMark/>
          </w:tcPr>
          <w:p w14:paraId="317E88CC" w14:textId="60A747B7" w:rsidR="00071E2A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noWrap/>
            <w:vAlign w:val="bottom"/>
            <w:hideMark/>
          </w:tcPr>
          <w:p w14:paraId="5E52B5E7" w14:textId="4D865FE1" w:rsidR="00071E2A" w:rsidRPr="00573408" w:rsidRDefault="004C73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="00CF6A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71E2A" w:rsidRPr="00573408" w14:paraId="2C9902AD" w14:textId="77777777" w:rsidTr="00B66EB6">
        <w:trPr>
          <w:trHeight w:val="255"/>
        </w:trPr>
        <w:tc>
          <w:tcPr>
            <w:tcW w:w="940" w:type="dxa"/>
            <w:noWrap/>
            <w:vAlign w:val="bottom"/>
            <w:hideMark/>
          </w:tcPr>
          <w:p w14:paraId="3061822E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5680" w:type="dxa"/>
            <w:noWrap/>
            <w:vAlign w:val="bottom"/>
            <w:hideMark/>
          </w:tcPr>
          <w:p w14:paraId="27CBEB4A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kamata na dane zajmove</w:t>
            </w:r>
          </w:p>
        </w:tc>
        <w:tc>
          <w:tcPr>
            <w:tcW w:w="1400" w:type="dxa"/>
            <w:noWrap/>
            <w:vAlign w:val="bottom"/>
            <w:hideMark/>
          </w:tcPr>
          <w:p w14:paraId="27CACA77" w14:textId="77777777" w:rsidR="00071E2A" w:rsidRPr="00573408" w:rsidRDefault="00071E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noWrap/>
            <w:vAlign w:val="bottom"/>
            <w:hideMark/>
          </w:tcPr>
          <w:p w14:paraId="29C60C80" w14:textId="77777777" w:rsidR="00071E2A" w:rsidRPr="00573408" w:rsidRDefault="00071E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71E2A" w14:paraId="11C0934E" w14:textId="77777777" w:rsidTr="00B66EB6">
        <w:trPr>
          <w:trHeight w:val="510"/>
        </w:trPr>
        <w:tc>
          <w:tcPr>
            <w:tcW w:w="940" w:type="dxa"/>
            <w:noWrap/>
            <w:vAlign w:val="bottom"/>
            <w:hideMark/>
          </w:tcPr>
          <w:p w14:paraId="2193B462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680" w:type="dxa"/>
            <w:vAlign w:val="bottom"/>
            <w:hideMark/>
          </w:tcPr>
          <w:p w14:paraId="3A7BD3BE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00" w:type="dxa"/>
            <w:noWrap/>
            <w:vAlign w:val="bottom"/>
            <w:hideMark/>
          </w:tcPr>
          <w:p w14:paraId="60FCB142" w14:textId="7A9B1038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noWrap/>
            <w:vAlign w:val="bottom"/>
            <w:hideMark/>
          </w:tcPr>
          <w:p w14:paraId="59290F63" w14:textId="2E23E5EE" w:rsidR="00071E2A" w:rsidRDefault="00852D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53,27</w:t>
            </w:r>
          </w:p>
        </w:tc>
      </w:tr>
      <w:tr w:rsidR="00071E2A" w:rsidRPr="00573408" w14:paraId="0E1152F1" w14:textId="77777777" w:rsidTr="00B66EB6">
        <w:trPr>
          <w:trHeight w:val="255"/>
        </w:trPr>
        <w:tc>
          <w:tcPr>
            <w:tcW w:w="940" w:type="dxa"/>
            <w:noWrap/>
            <w:vAlign w:val="bottom"/>
            <w:hideMark/>
          </w:tcPr>
          <w:p w14:paraId="23DFD60E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5680" w:type="dxa"/>
            <w:noWrap/>
            <w:vAlign w:val="bottom"/>
            <w:hideMark/>
          </w:tcPr>
          <w:p w14:paraId="5D238BD6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po posebnim propisima</w:t>
            </w:r>
          </w:p>
        </w:tc>
        <w:tc>
          <w:tcPr>
            <w:tcW w:w="1400" w:type="dxa"/>
            <w:noWrap/>
            <w:vAlign w:val="bottom"/>
            <w:hideMark/>
          </w:tcPr>
          <w:p w14:paraId="18E0C3DD" w14:textId="3B173DE6" w:rsidR="00071E2A" w:rsidRPr="00573408" w:rsidRDefault="004C7362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noWrap/>
            <w:vAlign w:val="bottom"/>
            <w:hideMark/>
          </w:tcPr>
          <w:p w14:paraId="01C6AB8A" w14:textId="47AFF130" w:rsidR="00071E2A" w:rsidRPr="00573408" w:rsidRDefault="00852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53,27</w:t>
            </w:r>
          </w:p>
        </w:tc>
      </w:tr>
      <w:tr w:rsidR="00071E2A" w14:paraId="65707525" w14:textId="77777777" w:rsidTr="00B66EB6">
        <w:trPr>
          <w:trHeight w:val="510"/>
        </w:trPr>
        <w:tc>
          <w:tcPr>
            <w:tcW w:w="940" w:type="dxa"/>
            <w:noWrap/>
            <w:vAlign w:val="bottom"/>
            <w:hideMark/>
          </w:tcPr>
          <w:p w14:paraId="422F1535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14291749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5680" w:type="dxa"/>
            <w:vAlign w:val="bottom"/>
            <w:hideMark/>
          </w:tcPr>
          <w:p w14:paraId="234D67E6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400" w:type="dxa"/>
            <w:noWrap/>
            <w:vAlign w:val="bottom"/>
            <w:hideMark/>
          </w:tcPr>
          <w:p w14:paraId="02398CCB" w14:textId="5E740302" w:rsidR="00D12BAB" w:rsidRPr="0042719B" w:rsidRDefault="006B00E6" w:rsidP="00D12B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51.430,00</w:t>
            </w:r>
          </w:p>
        </w:tc>
        <w:tc>
          <w:tcPr>
            <w:tcW w:w="1400" w:type="dxa"/>
            <w:noWrap/>
            <w:vAlign w:val="bottom"/>
            <w:hideMark/>
          </w:tcPr>
          <w:p w14:paraId="74DAF97F" w14:textId="544ED06C" w:rsidR="00071E2A" w:rsidRPr="0042719B" w:rsidRDefault="006B00E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45.603,21</w:t>
            </w:r>
          </w:p>
        </w:tc>
      </w:tr>
      <w:bookmarkEnd w:id="5"/>
      <w:tr w:rsidR="006B00E6" w:rsidRPr="00573408" w14:paraId="418E0502" w14:textId="77777777" w:rsidTr="00864323">
        <w:trPr>
          <w:trHeight w:val="255"/>
        </w:trPr>
        <w:tc>
          <w:tcPr>
            <w:tcW w:w="940" w:type="dxa"/>
            <w:noWrap/>
            <w:vAlign w:val="bottom"/>
            <w:hideMark/>
          </w:tcPr>
          <w:p w14:paraId="264AEF59" w14:textId="77777777" w:rsidR="006B00E6" w:rsidRPr="00573408" w:rsidRDefault="006B00E6" w:rsidP="006B00E6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5680" w:type="dxa"/>
            <w:noWrap/>
            <w:vAlign w:val="bottom"/>
            <w:hideMark/>
          </w:tcPr>
          <w:p w14:paraId="23CCFA2F" w14:textId="77777777" w:rsidR="006B00E6" w:rsidRPr="00573408" w:rsidRDefault="006B00E6" w:rsidP="006B00E6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1400" w:type="dxa"/>
            <w:noWrap/>
            <w:vAlign w:val="bottom"/>
            <w:hideMark/>
          </w:tcPr>
          <w:p w14:paraId="55271320" w14:textId="6D87FB9E" w:rsidR="006B00E6" w:rsidRPr="0042719B" w:rsidRDefault="006B00E6" w:rsidP="006B00E6">
            <w:pPr>
              <w:rPr>
                <w:rFonts w:ascii="Arial" w:hAnsi="Arial" w:cs="Arial"/>
                <w:sz w:val="20"/>
                <w:szCs w:val="20"/>
              </w:rPr>
            </w:pPr>
            <w:r w:rsidRPr="0042719B">
              <w:rPr>
                <w:rFonts w:ascii="Arial" w:hAnsi="Arial" w:cs="Arial"/>
                <w:sz w:val="20"/>
                <w:szCs w:val="20"/>
              </w:rPr>
              <w:t xml:space="preserve">       11.000,00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A557" w14:textId="5EC17D57" w:rsidR="006B00E6" w:rsidRPr="0042719B" w:rsidRDefault="006B00E6" w:rsidP="006B0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10.028,53</w:t>
            </w:r>
          </w:p>
        </w:tc>
      </w:tr>
      <w:tr w:rsidR="006B00E6" w:rsidRPr="00573408" w14:paraId="43A479D1" w14:textId="77777777" w:rsidTr="008000FF">
        <w:trPr>
          <w:trHeight w:val="255"/>
        </w:trPr>
        <w:tc>
          <w:tcPr>
            <w:tcW w:w="940" w:type="dxa"/>
            <w:noWrap/>
            <w:vAlign w:val="bottom"/>
            <w:hideMark/>
          </w:tcPr>
          <w:p w14:paraId="07C951A1" w14:textId="77777777" w:rsidR="006B00E6" w:rsidRPr="00573408" w:rsidRDefault="006B00E6" w:rsidP="006B00E6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5680" w:type="dxa"/>
            <w:noWrap/>
            <w:vAlign w:val="bottom"/>
            <w:hideMark/>
          </w:tcPr>
          <w:p w14:paraId="514D3606" w14:textId="77777777" w:rsidR="006B00E6" w:rsidRPr="00573408" w:rsidRDefault="006B00E6" w:rsidP="006B00E6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1400" w:type="dxa"/>
            <w:noWrap/>
            <w:vAlign w:val="bottom"/>
          </w:tcPr>
          <w:p w14:paraId="057FBAD3" w14:textId="178EF5BD" w:rsidR="006B00E6" w:rsidRPr="0042719B" w:rsidRDefault="00852D77" w:rsidP="006B0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40.430,00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EE57B" w14:textId="56D1925E" w:rsidR="006B00E6" w:rsidRPr="0042719B" w:rsidRDefault="006B00E6" w:rsidP="006B0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35.574,68</w:t>
            </w:r>
          </w:p>
        </w:tc>
      </w:tr>
      <w:tr w:rsidR="006B00E6" w14:paraId="070C1B7A" w14:textId="77777777" w:rsidTr="00A156E9">
        <w:trPr>
          <w:trHeight w:val="255"/>
        </w:trPr>
        <w:tc>
          <w:tcPr>
            <w:tcW w:w="940" w:type="dxa"/>
            <w:noWrap/>
            <w:vAlign w:val="bottom"/>
            <w:hideMark/>
          </w:tcPr>
          <w:p w14:paraId="47D42C80" w14:textId="77777777" w:rsidR="006B00E6" w:rsidRDefault="006B00E6" w:rsidP="006B00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5680" w:type="dxa"/>
            <w:noWrap/>
            <w:vAlign w:val="bottom"/>
            <w:hideMark/>
          </w:tcPr>
          <w:p w14:paraId="31BBFFD8" w14:textId="77777777" w:rsidR="006B00E6" w:rsidRDefault="006B00E6" w:rsidP="006B00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iz nadležnog proračuna</w:t>
            </w:r>
          </w:p>
        </w:tc>
        <w:tc>
          <w:tcPr>
            <w:tcW w:w="1400" w:type="dxa"/>
            <w:noWrap/>
            <w:vAlign w:val="bottom"/>
            <w:hideMark/>
          </w:tcPr>
          <w:p w14:paraId="7FF83F21" w14:textId="33CE4F3C" w:rsidR="009C5630" w:rsidRDefault="006B00E6" w:rsidP="006B00E6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fldChar w:fldCharType="begin"/>
            </w:r>
            <w:r>
              <w:instrText xml:space="preserve"> LINK </w:instrText>
            </w:r>
            <w:r w:rsidR="00520E96">
              <w:instrText xml:space="preserve">Excel.Sheet.8 "C:\\Users\\Javna\\Desktop\\Ispis izvršenja proračuna -2025 - 1-12.xls" "Prihodi i rashodi prema ekonoms!R29C17:R29C18" </w:instrText>
            </w:r>
            <w:r>
              <w:instrText xml:space="preserve">\a \f 4 \h </w:instrText>
            </w:r>
            <w:r>
              <w:fldChar w:fldCharType="separate"/>
            </w:r>
          </w:p>
          <w:p w14:paraId="01F09F5E" w14:textId="77777777" w:rsidR="009C5630" w:rsidRPr="009C5630" w:rsidRDefault="009C5630" w:rsidP="009C563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630">
              <w:rPr>
                <w:rFonts w:ascii="Arial" w:hAnsi="Arial" w:cs="Arial"/>
                <w:b/>
                <w:bCs/>
                <w:sz w:val="20"/>
                <w:szCs w:val="20"/>
              </w:rPr>
              <w:t>792.500,67</w:t>
            </w:r>
          </w:p>
          <w:p w14:paraId="140F7D23" w14:textId="1B40E1AA" w:rsidR="006B00E6" w:rsidRPr="0042719B" w:rsidRDefault="006B00E6" w:rsidP="006B00E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06096" w14:textId="6485ACDB" w:rsidR="006B00E6" w:rsidRPr="0042719B" w:rsidRDefault="006B00E6" w:rsidP="006B00E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791.665,56</w:t>
            </w:r>
          </w:p>
        </w:tc>
      </w:tr>
      <w:tr w:rsidR="006B00E6" w:rsidRPr="00573408" w14:paraId="5FF87CB7" w14:textId="77777777" w:rsidTr="0042719B">
        <w:trPr>
          <w:trHeight w:val="510"/>
        </w:trPr>
        <w:tc>
          <w:tcPr>
            <w:tcW w:w="940" w:type="dxa"/>
            <w:noWrap/>
            <w:vAlign w:val="bottom"/>
            <w:hideMark/>
          </w:tcPr>
          <w:p w14:paraId="7686DA27" w14:textId="77777777" w:rsidR="006B00E6" w:rsidRPr="00573408" w:rsidRDefault="006B00E6" w:rsidP="006B00E6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5680" w:type="dxa"/>
            <w:vAlign w:val="bottom"/>
            <w:hideMark/>
          </w:tcPr>
          <w:p w14:paraId="2E6C0B45" w14:textId="77777777" w:rsidR="006B00E6" w:rsidRPr="00573408" w:rsidRDefault="006B00E6" w:rsidP="006B00E6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iz nadležnog proračuna za financiranje rashoda poslovanja</w:t>
            </w:r>
          </w:p>
        </w:tc>
        <w:tc>
          <w:tcPr>
            <w:tcW w:w="1400" w:type="dxa"/>
            <w:noWrap/>
            <w:vAlign w:val="bottom"/>
          </w:tcPr>
          <w:p w14:paraId="3C8AD3C8" w14:textId="250EA1AD" w:rsidR="006B00E6" w:rsidRPr="0042719B" w:rsidRDefault="006B00E6" w:rsidP="006B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792.500,67</w:t>
            </w:r>
          </w:p>
        </w:tc>
        <w:tc>
          <w:tcPr>
            <w:tcW w:w="1400" w:type="dxa"/>
            <w:noWrap/>
            <w:vAlign w:val="bottom"/>
          </w:tcPr>
          <w:p w14:paraId="34EB7EE4" w14:textId="6B4A52AE" w:rsidR="006B00E6" w:rsidRPr="0042719B" w:rsidRDefault="006B00E6" w:rsidP="006B0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791.665,56</w:t>
            </w:r>
          </w:p>
        </w:tc>
      </w:tr>
    </w:tbl>
    <w:p w14:paraId="69497135" w14:textId="77777777" w:rsidR="000930D8" w:rsidRDefault="000930D8" w:rsidP="000930D8">
      <w:pPr>
        <w:jc w:val="both"/>
        <w:rPr>
          <w:rFonts w:ascii="Arial" w:hAnsi="Arial" w:cs="Arial"/>
          <w:bCs/>
        </w:rPr>
      </w:pPr>
    </w:p>
    <w:p w14:paraId="78829D2D" w14:textId="77777777" w:rsidR="00C422C5" w:rsidRPr="000930D8" w:rsidRDefault="00C422C5" w:rsidP="000930D8">
      <w:pPr>
        <w:jc w:val="both"/>
        <w:rPr>
          <w:rFonts w:ascii="Arial" w:hAnsi="Arial" w:cs="Arial"/>
          <w:bCs/>
        </w:rPr>
      </w:pPr>
    </w:p>
    <w:p w14:paraId="6A062B68" w14:textId="77777777" w:rsidR="00F23A60" w:rsidRDefault="00F23A60" w:rsidP="00343B84">
      <w:pPr>
        <w:jc w:val="both"/>
        <w:rPr>
          <w:rFonts w:ascii="Arial" w:hAnsi="Arial" w:cs="Arial"/>
          <w:bCs/>
        </w:rPr>
      </w:pPr>
    </w:p>
    <w:p w14:paraId="666E434D" w14:textId="0126DAF2" w:rsidR="00343B84" w:rsidRPr="00C438D9" w:rsidRDefault="00343B84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t>6 – P</w:t>
      </w:r>
      <w:r w:rsidR="000930D8">
        <w:rPr>
          <w:rFonts w:ascii="Arial" w:hAnsi="Arial" w:cs="Arial"/>
          <w:b/>
        </w:rPr>
        <w:t xml:space="preserve">RIHODI POSLOVANJA </w:t>
      </w:r>
      <w:r w:rsidR="00E531DE">
        <w:rPr>
          <w:rFonts w:ascii="Arial" w:hAnsi="Arial" w:cs="Arial"/>
          <w:b/>
        </w:rPr>
        <w:t>:</w:t>
      </w:r>
      <w:r w:rsidRPr="00C438D9">
        <w:rPr>
          <w:rFonts w:ascii="Arial" w:hAnsi="Arial" w:cs="Arial"/>
          <w:bCs/>
        </w:rPr>
        <w:t xml:space="preserve"> ostvareni su u iznosu od </w:t>
      </w:r>
      <w:r w:rsidR="008E1254">
        <w:rPr>
          <w:rFonts w:ascii="Arial" w:hAnsi="Arial" w:cs="Arial"/>
          <w:bCs/>
        </w:rPr>
        <w:t>837.322,04</w:t>
      </w:r>
      <w:r w:rsidR="00D924A4" w:rsidRPr="00C438D9">
        <w:rPr>
          <w:rFonts w:ascii="Arial" w:hAnsi="Arial" w:cs="Arial"/>
          <w:bCs/>
        </w:rPr>
        <w:t xml:space="preserve"> EUR</w:t>
      </w:r>
      <w:r w:rsidRPr="00C438D9">
        <w:rPr>
          <w:rFonts w:ascii="Arial" w:hAnsi="Arial" w:cs="Arial"/>
          <w:bCs/>
        </w:rPr>
        <w:t xml:space="preserve"> ili za </w:t>
      </w:r>
      <w:r w:rsidR="008E1254">
        <w:rPr>
          <w:rFonts w:ascii="Arial" w:hAnsi="Arial" w:cs="Arial"/>
          <w:bCs/>
        </w:rPr>
        <w:t>99,22</w:t>
      </w:r>
      <w:r w:rsidRPr="00C438D9">
        <w:rPr>
          <w:rFonts w:ascii="Arial" w:hAnsi="Arial" w:cs="Arial"/>
          <w:bCs/>
        </w:rPr>
        <w:t xml:space="preserve"> % </w:t>
      </w:r>
      <w:r w:rsidR="002D6C07" w:rsidRPr="00C438D9">
        <w:rPr>
          <w:rFonts w:ascii="Arial" w:hAnsi="Arial" w:cs="Arial"/>
          <w:bCs/>
        </w:rPr>
        <w:t xml:space="preserve">u odnosu </w:t>
      </w:r>
      <w:r w:rsidRPr="00C438D9">
        <w:rPr>
          <w:rFonts w:ascii="Arial" w:hAnsi="Arial" w:cs="Arial"/>
          <w:bCs/>
        </w:rPr>
        <w:t>na planirano.</w:t>
      </w:r>
    </w:p>
    <w:p w14:paraId="384D9031" w14:textId="77777777" w:rsidR="00F513C1" w:rsidRPr="00C438D9" w:rsidRDefault="00F513C1" w:rsidP="00C70BF6">
      <w:pPr>
        <w:jc w:val="both"/>
        <w:rPr>
          <w:rFonts w:ascii="Arial" w:hAnsi="Arial" w:cs="Arial"/>
          <w:bCs/>
        </w:rPr>
      </w:pPr>
    </w:p>
    <w:p w14:paraId="55C88DA6" w14:textId="437A99A5" w:rsidR="00E531DE" w:rsidRDefault="00EB4C8D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t>66</w:t>
      </w:r>
      <w:r w:rsidRPr="00C438D9">
        <w:rPr>
          <w:rFonts w:ascii="Arial" w:hAnsi="Arial" w:cs="Arial"/>
          <w:bCs/>
        </w:rPr>
        <w:t xml:space="preserve"> – </w:t>
      </w:r>
      <w:r w:rsidR="00BE32ED" w:rsidRPr="00C438D9">
        <w:rPr>
          <w:rFonts w:ascii="Arial" w:hAnsi="Arial" w:cs="Arial"/>
          <w:b/>
        </w:rPr>
        <w:t>Prihodi od prodaje proizvoda i robe te pruženih usluga i prihodi od donacija</w:t>
      </w:r>
      <w:r w:rsidR="00E531DE">
        <w:rPr>
          <w:rFonts w:ascii="Arial" w:hAnsi="Arial" w:cs="Arial"/>
          <w:b/>
        </w:rPr>
        <w:t>:</w:t>
      </w:r>
      <w:r w:rsidR="00BE32ED" w:rsidRPr="00C438D9">
        <w:rPr>
          <w:rFonts w:ascii="Arial" w:hAnsi="Arial" w:cs="Arial"/>
          <w:b/>
        </w:rPr>
        <w:t xml:space="preserve"> </w:t>
      </w:r>
      <w:r w:rsidRPr="00C438D9">
        <w:rPr>
          <w:rFonts w:ascii="Arial" w:hAnsi="Arial" w:cs="Arial"/>
          <w:bCs/>
        </w:rPr>
        <w:t xml:space="preserve"> </w:t>
      </w:r>
      <w:r w:rsidR="00BE32ED" w:rsidRPr="00C438D9">
        <w:rPr>
          <w:rFonts w:ascii="Arial" w:hAnsi="Arial" w:cs="Arial"/>
          <w:bCs/>
        </w:rPr>
        <w:t xml:space="preserve">ostvarene su u iznosu od </w:t>
      </w:r>
      <w:r w:rsidR="007A0343">
        <w:rPr>
          <w:rFonts w:ascii="Arial" w:hAnsi="Arial" w:cs="Arial"/>
          <w:bCs/>
        </w:rPr>
        <w:t>45.656,48</w:t>
      </w:r>
      <w:r w:rsidR="00BE32ED" w:rsidRPr="00C438D9">
        <w:rPr>
          <w:rFonts w:ascii="Arial" w:hAnsi="Arial" w:cs="Arial"/>
          <w:bCs/>
        </w:rPr>
        <w:t xml:space="preserve"> EUR</w:t>
      </w:r>
      <w:r w:rsidR="00EE0958">
        <w:rPr>
          <w:rFonts w:ascii="Arial" w:hAnsi="Arial" w:cs="Arial"/>
          <w:bCs/>
        </w:rPr>
        <w:t>.</w:t>
      </w:r>
    </w:p>
    <w:p w14:paraId="3A1D1463" w14:textId="6DABEB4F" w:rsidR="00EB4C8D" w:rsidRPr="00C438D9" w:rsidRDefault="00AD4D53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Cs/>
        </w:rPr>
        <w:t>Uključuju vlas</w:t>
      </w:r>
      <w:r w:rsidR="005D79DE" w:rsidRPr="00C438D9">
        <w:rPr>
          <w:rFonts w:ascii="Arial" w:hAnsi="Arial" w:cs="Arial"/>
          <w:bCs/>
        </w:rPr>
        <w:t>tite pri</w:t>
      </w:r>
      <w:r w:rsidR="00522BBA" w:rsidRPr="00C438D9">
        <w:rPr>
          <w:rFonts w:ascii="Arial" w:hAnsi="Arial" w:cs="Arial"/>
          <w:bCs/>
        </w:rPr>
        <w:t>h</w:t>
      </w:r>
      <w:r w:rsidR="005D79DE" w:rsidRPr="00C438D9">
        <w:rPr>
          <w:rFonts w:ascii="Arial" w:hAnsi="Arial" w:cs="Arial"/>
          <w:bCs/>
        </w:rPr>
        <w:t>ode</w:t>
      </w:r>
      <w:r w:rsidR="00E531DE">
        <w:rPr>
          <w:rFonts w:ascii="Arial" w:hAnsi="Arial" w:cs="Arial"/>
          <w:bCs/>
        </w:rPr>
        <w:t>,</w:t>
      </w:r>
      <w:r w:rsidR="005D79DE" w:rsidRPr="00C438D9">
        <w:rPr>
          <w:rFonts w:ascii="Arial" w:hAnsi="Arial" w:cs="Arial"/>
          <w:bCs/>
        </w:rPr>
        <w:t xml:space="preserve"> donacije Područne vatrogasne zajednice</w:t>
      </w:r>
      <w:r w:rsidR="009361E5">
        <w:rPr>
          <w:rFonts w:ascii="Arial" w:hAnsi="Arial" w:cs="Arial"/>
          <w:bCs/>
        </w:rPr>
        <w:t xml:space="preserve"> Buzet</w:t>
      </w:r>
      <w:r w:rsidR="007A0343">
        <w:rPr>
          <w:rFonts w:ascii="Arial" w:hAnsi="Arial" w:cs="Arial"/>
          <w:bCs/>
        </w:rPr>
        <w:t xml:space="preserve"> i donacije Vatrogasne zajednice Istarske županije.</w:t>
      </w:r>
    </w:p>
    <w:p w14:paraId="5B6495DD" w14:textId="77777777" w:rsidR="00BE32ED" w:rsidRPr="00C438D9" w:rsidRDefault="00BE32ED" w:rsidP="00343B84">
      <w:pPr>
        <w:jc w:val="both"/>
        <w:rPr>
          <w:rFonts w:ascii="Arial" w:hAnsi="Arial" w:cs="Arial"/>
          <w:b/>
        </w:rPr>
      </w:pPr>
    </w:p>
    <w:p w14:paraId="57802815" w14:textId="77777777" w:rsidR="00C422C5" w:rsidRDefault="005D79DE" w:rsidP="00C422C5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lastRenderedPageBreak/>
        <w:t xml:space="preserve">67 - Prihodi iz nadležnog proračuna </w:t>
      </w:r>
      <w:r w:rsidR="00C841F4" w:rsidRPr="00C438D9">
        <w:rPr>
          <w:rFonts w:ascii="Arial" w:hAnsi="Arial" w:cs="Arial"/>
          <w:b/>
        </w:rPr>
        <w:t>–</w:t>
      </w:r>
      <w:r w:rsidRPr="00C438D9">
        <w:rPr>
          <w:rFonts w:ascii="Arial" w:hAnsi="Arial" w:cs="Arial"/>
          <w:bCs/>
        </w:rPr>
        <w:t xml:space="preserve"> </w:t>
      </w:r>
      <w:r w:rsidR="00C841F4" w:rsidRPr="00C438D9">
        <w:rPr>
          <w:rFonts w:ascii="Arial" w:hAnsi="Arial" w:cs="Arial"/>
          <w:bCs/>
        </w:rPr>
        <w:t xml:space="preserve">ostvareni su u iznosu </w:t>
      </w:r>
      <w:r w:rsidR="007A0343">
        <w:rPr>
          <w:rFonts w:ascii="Arial" w:hAnsi="Arial" w:cs="Arial"/>
          <w:bCs/>
        </w:rPr>
        <w:t>791.665,56</w:t>
      </w:r>
      <w:r w:rsidR="00C841F4" w:rsidRPr="00C438D9">
        <w:rPr>
          <w:rFonts w:ascii="Arial" w:hAnsi="Arial" w:cs="Arial"/>
          <w:bCs/>
        </w:rPr>
        <w:t xml:space="preserve"> EUR, </w:t>
      </w:r>
      <w:r w:rsidR="00F779BB" w:rsidRPr="00C438D9">
        <w:rPr>
          <w:rFonts w:ascii="Arial" w:hAnsi="Arial" w:cs="Arial"/>
          <w:bCs/>
        </w:rPr>
        <w:t xml:space="preserve">što </w:t>
      </w:r>
      <w:r w:rsidR="00F779BB">
        <w:rPr>
          <w:rFonts w:ascii="Arial" w:hAnsi="Arial" w:cs="Arial"/>
          <w:bCs/>
        </w:rPr>
        <w:t xml:space="preserve">predstavlja </w:t>
      </w:r>
      <w:r w:rsidR="007A0343">
        <w:rPr>
          <w:rFonts w:ascii="Arial" w:hAnsi="Arial" w:cs="Arial"/>
          <w:bCs/>
        </w:rPr>
        <w:t>99,89</w:t>
      </w:r>
      <w:r w:rsidR="00F779BB">
        <w:rPr>
          <w:rFonts w:ascii="Arial" w:hAnsi="Arial" w:cs="Arial"/>
          <w:bCs/>
        </w:rPr>
        <w:t xml:space="preserve">% plana. </w:t>
      </w:r>
    </w:p>
    <w:p w14:paraId="7C8D13DF" w14:textId="77777777" w:rsidR="00C422C5" w:rsidRDefault="00C422C5" w:rsidP="00C422C5">
      <w:pPr>
        <w:jc w:val="both"/>
        <w:rPr>
          <w:rFonts w:ascii="Arial" w:hAnsi="Arial" w:cs="Arial"/>
          <w:szCs w:val="20"/>
        </w:rPr>
      </w:pPr>
      <w:r w:rsidRPr="00C422C5">
        <w:rPr>
          <w:rFonts w:ascii="Arial" w:hAnsi="Arial" w:cs="Arial"/>
          <w:szCs w:val="20"/>
        </w:rPr>
        <w:t>Ova vrsta prihoda odnosi se na prihode iz nadležnog proračuna.</w:t>
      </w:r>
    </w:p>
    <w:p w14:paraId="7AECF8C3" w14:textId="1F7AC1FC" w:rsidR="00C422C5" w:rsidRDefault="00C422C5" w:rsidP="00C422C5">
      <w:pPr>
        <w:jc w:val="both"/>
        <w:rPr>
          <w:rFonts w:ascii="Arial" w:hAnsi="Arial" w:cs="Arial"/>
          <w:szCs w:val="20"/>
        </w:rPr>
      </w:pPr>
      <w:r w:rsidRPr="00C422C5">
        <w:rPr>
          <w:rFonts w:ascii="Arial" w:hAnsi="Arial" w:cs="Arial"/>
          <w:szCs w:val="20"/>
        </w:rPr>
        <w:t xml:space="preserve">  -  Prihodi iz nadležnog proračuna Grada </w:t>
      </w:r>
      <w:r>
        <w:rPr>
          <w:rFonts w:ascii="Arial" w:hAnsi="Arial" w:cs="Arial"/>
          <w:szCs w:val="20"/>
        </w:rPr>
        <w:t xml:space="preserve">Buzeta </w:t>
      </w:r>
      <w:r w:rsidRPr="00C422C5">
        <w:rPr>
          <w:rFonts w:ascii="Arial" w:hAnsi="Arial" w:cs="Arial"/>
          <w:szCs w:val="20"/>
        </w:rPr>
        <w:t xml:space="preserve"> ostvareni radi većih izdvajanja za rashode za zaposlene</w:t>
      </w:r>
      <w:r>
        <w:rPr>
          <w:rFonts w:ascii="Arial" w:hAnsi="Arial" w:cs="Arial"/>
          <w:szCs w:val="20"/>
        </w:rPr>
        <w:t xml:space="preserve"> </w:t>
      </w:r>
      <w:r w:rsidRPr="00C422C5">
        <w:rPr>
          <w:rFonts w:ascii="Arial" w:hAnsi="Arial" w:cs="Arial"/>
          <w:szCs w:val="20"/>
        </w:rPr>
        <w:t xml:space="preserve"> </w:t>
      </w:r>
    </w:p>
    <w:p w14:paraId="5B423CA7" w14:textId="78625D2B" w:rsidR="005D79DE" w:rsidRPr="00C422C5" w:rsidRDefault="00C422C5" w:rsidP="00F779BB">
      <w:pPr>
        <w:jc w:val="both"/>
        <w:rPr>
          <w:rFonts w:ascii="Arial" w:hAnsi="Arial" w:cs="Arial"/>
          <w:szCs w:val="20"/>
        </w:rPr>
      </w:pPr>
      <w:r w:rsidRPr="00C422C5">
        <w:rPr>
          <w:rFonts w:ascii="Arial" w:hAnsi="Arial" w:cs="Arial"/>
          <w:szCs w:val="20"/>
        </w:rPr>
        <w:t>- Tekuće pomoći iz državnog proračuna za prihode ostvarene na temelju Odluke o minimalnim financijskim standardima, kriterijima i mjerilima za financiranje rashoda javnih vatrogasnih postrojbi u 2025. godini.</w:t>
      </w:r>
      <w:r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bCs/>
        </w:rPr>
        <w:t>u</w:t>
      </w:r>
      <w:r w:rsidR="00772D95">
        <w:rPr>
          <w:rFonts w:ascii="Arial" w:hAnsi="Arial" w:cs="Arial"/>
          <w:bCs/>
        </w:rPr>
        <w:t>ključuju p</w:t>
      </w:r>
      <w:r w:rsidR="00F779BB" w:rsidRPr="00F779BB">
        <w:rPr>
          <w:rFonts w:ascii="Arial" w:hAnsi="Arial" w:cs="Arial"/>
          <w:bCs/>
        </w:rPr>
        <w:t>rihod</w:t>
      </w:r>
      <w:r w:rsidR="00772D95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za plaće i</w:t>
      </w:r>
      <w:r w:rsidR="00772D95">
        <w:rPr>
          <w:rFonts w:ascii="Arial" w:hAnsi="Arial" w:cs="Arial"/>
          <w:bCs/>
        </w:rPr>
        <w:t xml:space="preserve"> materijalne troškove</w:t>
      </w:r>
      <w:r w:rsidR="002A0DF0">
        <w:rPr>
          <w:rFonts w:ascii="Arial" w:hAnsi="Arial" w:cs="Arial"/>
          <w:bCs/>
        </w:rPr>
        <w:t xml:space="preserve"> </w:t>
      </w:r>
    </w:p>
    <w:p w14:paraId="5F85AA7A" w14:textId="77777777" w:rsidR="000930D8" w:rsidRDefault="000930D8" w:rsidP="00F779BB">
      <w:pPr>
        <w:jc w:val="both"/>
        <w:rPr>
          <w:rFonts w:ascii="Arial" w:hAnsi="Arial" w:cs="Arial"/>
          <w:bCs/>
        </w:rPr>
      </w:pPr>
    </w:p>
    <w:p w14:paraId="18F409CB" w14:textId="77777777" w:rsidR="000930D8" w:rsidRDefault="000930D8" w:rsidP="00F779BB">
      <w:pPr>
        <w:jc w:val="both"/>
        <w:rPr>
          <w:rFonts w:ascii="Arial" w:hAnsi="Arial" w:cs="Arial"/>
          <w:bCs/>
        </w:rPr>
      </w:pPr>
    </w:p>
    <w:p w14:paraId="2EF84F39" w14:textId="77777777" w:rsidR="009F6B56" w:rsidRPr="005D79DE" w:rsidRDefault="009F6B56" w:rsidP="00F779BB">
      <w:pPr>
        <w:jc w:val="both"/>
        <w:rPr>
          <w:rFonts w:ascii="Arial" w:hAnsi="Arial" w:cs="Arial"/>
          <w:bCs/>
        </w:rPr>
      </w:pPr>
    </w:p>
    <w:p w14:paraId="4877DB36" w14:textId="77777777" w:rsidR="000930D8" w:rsidRPr="00A92097" w:rsidRDefault="000930D8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 xml:space="preserve">PRIHODI I PRIMICI : </w:t>
      </w:r>
    </w:p>
    <w:p w14:paraId="39217751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POMOĆI IZRAVNANJA ZA DECFENTRALIZIRANE FUNKCIJE</w:t>
      </w:r>
    </w:p>
    <w:p w14:paraId="53EB29F4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OPĆI PRIHODI I PRIMICI</w:t>
      </w:r>
    </w:p>
    <w:p w14:paraId="7FB55313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VLASTITI PRIHODI</w:t>
      </w:r>
    </w:p>
    <w:p w14:paraId="6A40ED25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DONACIJE</w:t>
      </w:r>
    </w:p>
    <w:p w14:paraId="5B93999E" w14:textId="77777777" w:rsidR="000930D8" w:rsidRDefault="000930D8" w:rsidP="000930D8">
      <w:pPr>
        <w:jc w:val="both"/>
        <w:rPr>
          <w:rFonts w:ascii="Arial" w:hAnsi="Arial" w:cs="Arial"/>
          <w:b/>
        </w:rPr>
      </w:pPr>
    </w:p>
    <w:p w14:paraId="4213D286" w14:textId="77777777" w:rsidR="009F6B56" w:rsidRDefault="009F6B56" w:rsidP="000930D8">
      <w:pPr>
        <w:jc w:val="both"/>
        <w:rPr>
          <w:rFonts w:ascii="Arial" w:hAnsi="Arial" w:cs="Arial"/>
          <w:b/>
        </w:rPr>
      </w:pPr>
    </w:p>
    <w:p w14:paraId="0BB4701A" w14:textId="77777777" w:rsidR="009F6B56" w:rsidRPr="00A92097" w:rsidRDefault="009F6B56" w:rsidP="000930D8">
      <w:pPr>
        <w:jc w:val="both"/>
        <w:rPr>
          <w:rFonts w:ascii="Arial" w:hAnsi="Arial" w:cs="Arial"/>
          <w:b/>
        </w:rPr>
      </w:pPr>
    </w:p>
    <w:p w14:paraId="7EE29E67" w14:textId="38A00FB8" w:rsidR="000930D8" w:rsidRPr="00A92097" w:rsidRDefault="000930D8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POMOĆI IZRAVNANJA ZA DECENTRALIZIRANE FUNKCIJE</w:t>
      </w:r>
    </w:p>
    <w:p w14:paraId="0BAEE72D" w14:textId="77777777" w:rsidR="000930D8" w:rsidRDefault="000930D8" w:rsidP="000930D8">
      <w:pPr>
        <w:jc w:val="both"/>
        <w:rPr>
          <w:rFonts w:ascii="Arial" w:hAnsi="Arial" w:cs="Arial"/>
          <w:bCs/>
        </w:rPr>
      </w:pPr>
    </w:p>
    <w:p w14:paraId="78AD4A29" w14:textId="798753C2" w:rsidR="000930D8" w:rsidRDefault="000930D8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Javna vatrogasna postrojba Buzet najviše prihoda ostvaruje temeljem pomoći izravnanja za decentralizirane funkcije vatrogastva Odlukom o  minimalnim financijskim standardima za decentralizirano financiranja redovite djelatnosti javnih vatrogasnih postrojbi u 202</w:t>
      </w:r>
      <w:r w:rsidR="002E528B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 godini  utvrđeni su minimalni financijski standardi za decentralizirano financiranje rashoda za zaposlene, materijalne rashode te financijske rashode</w:t>
      </w:r>
      <w:r w:rsidR="002E528B">
        <w:rPr>
          <w:rFonts w:ascii="Arial" w:hAnsi="Arial" w:cs="Arial"/>
          <w:bCs/>
        </w:rPr>
        <w:t xml:space="preserve"> te je</w:t>
      </w:r>
      <w:r w:rsidR="00082929">
        <w:rPr>
          <w:rFonts w:ascii="Arial" w:hAnsi="Arial" w:cs="Arial"/>
          <w:bCs/>
        </w:rPr>
        <w:t xml:space="preserve"> donesena  Odluka za 2025. godinu</w:t>
      </w:r>
      <w:r w:rsidR="00674377">
        <w:rPr>
          <w:rFonts w:ascii="Arial" w:hAnsi="Arial" w:cs="Arial"/>
          <w:bCs/>
        </w:rPr>
        <w:t xml:space="preserve"> u iznosu od 390.044,00 eura </w:t>
      </w:r>
      <w:r w:rsidR="00082929">
        <w:rPr>
          <w:rFonts w:ascii="Arial" w:hAnsi="Arial" w:cs="Arial"/>
          <w:bCs/>
        </w:rPr>
        <w:t xml:space="preserve"> koja </w:t>
      </w:r>
      <w:r w:rsidR="002E528B">
        <w:rPr>
          <w:rFonts w:ascii="Arial" w:hAnsi="Arial" w:cs="Arial"/>
          <w:bCs/>
        </w:rPr>
        <w:t>je</w:t>
      </w:r>
      <w:r w:rsidR="00082929">
        <w:rPr>
          <w:rFonts w:ascii="Arial" w:hAnsi="Arial" w:cs="Arial"/>
          <w:bCs/>
        </w:rPr>
        <w:t xml:space="preserve"> </w:t>
      </w:r>
      <w:r w:rsidR="00674377">
        <w:rPr>
          <w:rFonts w:ascii="Arial" w:hAnsi="Arial" w:cs="Arial"/>
          <w:bCs/>
        </w:rPr>
        <w:t xml:space="preserve"> uvrštena u prve izmjene Financijskog plana 2025. godine.</w:t>
      </w:r>
    </w:p>
    <w:p w14:paraId="097441EA" w14:textId="65FDD0D3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09C7B7F8" w14:textId="77777777" w:rsidR="00B24382" w:rsidRDefault="00B24382" w:rsidP="000930D8">
      <w:pPr>
        <w:jc w:val="both"/>
        <w:rPr>
          <w:rFonts w:ascii="Arial" w:hAnsi="Arial" w:cs="Arial"/>
          <w:b/>
        </w:rPr>
      </w:pPr>
    </w:p>
    <w:p w14:paraId="60A45A91" w14:textId="77777777" w:rsidR="009F6B56" w:rsidRDefault="009F6B56" w:rsidP="000930D8">
      <w:pPr>
        <w:jc w:val="both"/>
        <w:rPr>
          <w:rFonts w:ascii="Arial" w:hAnsi="Arial" w:cs="Arial"/>
          <w:b/>
        </w:rPr>
      </w:pPr>
    </w:p>
    <w:p w14:paraId="7655E56C" w14:textId="77777777" w:rsidR="009F6B56" w:rsidRPr="00A92097" w:rsidRDefault="009F6B56" w:rsidP="000930D8">
      <w:pPr>
        <w:jc w:val="both"/>
        <w:rPr>
          <w:rFonts w:ascii="Arial" w:hAnsi="Arial" w:cs="Arial"/>
          <w:b/>
        </w:rPr>
      </w:pPr>
    </w:p>
    <w:p w14:paraId="0A28DF89" w14:textId="75E1D8EB" w:rsidR="00B24382" w:rsidRPr="00A92097" w:rsidRDefault="00B24382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ab/>
        <w:t>OPĆI PRIHOD I PRIMICI</w:t>
      </w:r>
    </w:p>
    <w:p w14:paraId="13906F20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59357A64" w14:textId="22FDA198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Prihodi su to iznad minimalnog standarda financirani su iz proračuna Grada Buzeta </w:t>
      </w:r>
      <w:r w:rsidR="00F31E32">
        <w:rPr>
          <w:rFonts w:ascii="Arial" w:hAnsi="Arial" w:cs="Arial"/>
          <w:bCs/>
        </w:rPr>
        <w:t>.</w:t>
      </w:r>
    </w:p>
    <w:p w14:paraId="1C96A0F5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79220FC6" w14:textId="77777777" w:rsidR="009F6B56" w:rsidRDefault="009F6B56" w:rsidP="000930D8">
      <w:pPr>
        <w:jc w:val="both"/>
        <w:rPr>
          <w:rFonts w:ascii="Arial" w:hAnsi="Arial" w:cs="Arial"/>
          <w:bCs/>
        </w:rPr>
      </w:pPr>
    </w:p>
    <w:p w14:paraId="3DAC728D" w14:textId="77777777" w:rsidR="009F6B56" w:rsidRDefault="009F6B56" w:rsidP="000930D8">
      <w:pPr>
        <w:jc w:val="both"/>
        <w:rPr>
          <w:rFonts w:ascii="Arial" w:hAnsi="Arial" w:cs="Arial"/>
          <w:bCs/>
        </w:rPr>
      </w:pPr>
    </w:p>
    <w:p w14:paraId="597CF37B" w14:textId="2ABC3B96" w:rsidR="00B24382" w:rsidRPr="00A92097" w:rsidRDefault="00B24382" w:rsidP="000930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Pr="00A92097">
        <w:rPr>
          <w:rFonts w:ascii="Arial" w:hAnsi="Arial" w:cs="Arial"/>
          <w:b/>
        </w:rPr>
        <w:t xml:space="preserve">VLASTITI PRIHODI </w:t>
      </w:r>
    </w:p>
    <w:p w14:paraId="3CCC6790" w14:textId="08ADE25F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293B80C" w14:textId="4692BE5F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Ostvareni su pružanjem vlastitih usluga kao što su prijevoz vode, razna osiguranja, održavanja sustava vatrodojave…</w:t>
      </w:r>
    </w:p>
    <w:p w14:paraId="792B8BF4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48C0B072" w14:textId="77777777" w:rsidR="009F6B56" w:rsidRDefault="009F6B56" w:rsidP="000930D8">
      <w:pPr>
        <w:jc w:val="both"/>
        <w:rPr>
          <w:rFonts w:ascii="Arial" w:hAnsi="Arial" w:cs="Arial"/>
          <w:bCs/>
        </w:rPr>
      </w:pPr>
    </w:p>
    <w:p w14:paraId="18B5E643" w14:textId="77777777" w:rsidR="009F6B56" w:rsidRDefault="009F6B56" w:rsidP="000930D8">
      <w:pPr>
        <w:jc w:val="both"/>
        <w:rPr>
          <w:rFonts w:ascii="Arial" w:hAnsi="Arial" w:cs="Arial"/>
          <w:bCs/>
        </w:rPr>
      </w:pPr>
    </w:p>
    <w:p w14:paraId="42672334" w14:textId="77777777" w:rsidR="009B7C9F" w:rsidRDefault="009B7C9F" w:rsidP="000930D8">
      <w:pPr>
        <w:jc w:val="both"/>
        <w:rPr>
          <w:rFonts w:ascii="Arial" w:hAnsi="Arial" w:cs="Arial"/>
          <w:bCs/>
        </w:rPr>
      </w:pPr>
    </w:p>
    <w:p w14:paraId="67590086" w14:textId="77777777" w:rsidR="009B7C9F" w:rsidRDefault="009B7C9F" w:rsidP="000930D8">
      <w:pPr>
        <w:jc w:val="both"/>
        <w:rPr>
          <w:rFonts w:ascii="Arial" w:hAnsi="Arial" w:cs="Arial"/>
          <w:bCs/>
        </w:rPr>
      </w:pPr>
    </w:p>
    <w:p w14:paraId="38B2D7C9" w14:textId="77777777" w:rsidR="009B7C9F" w:rsidRDefault="009B7C9F" w:rsidP="000930D8">
      <w:pPr>
        <w:jc w:val="both"/>
        <w:rPr>
          <w:rFonts w:ascii="Arial" w:hAnsi="Arial" w:cs="Arial"/>
          <w:bCs/>
        </w:rPr>
      </w:pPr>
    </w:p>
    <w:p w14:paraId="4CD47DBA" w14:textId="77777777" w:rsidR="009B7C9F" w:rsidRDefault="009B7C9F" w:rsidP="000930D8">
      <w:pPr>
        <w:jc w:val="both"/>
        <w:rPr>
          <w:rFonts w:ascii="Arial" w:hAnsi="Arial" w:cs="Arial"/>
          <w:bCs/>
        </w:rPr>
      </w:pPr>
    </w:p>
    <w:p w14:paraId="530D7DDB" w14:textId="3D2AFFA4" w:rsidR="00B24382" w:rsidRPr="00A92097" w:rsidRDefault="00B24382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lastRenderedPageBreak/>
        <w:tab/>
        <w:t>DONACIJE</w:t>
      </w:r>
    </w:p>
    <w:p w14:paraId="0BBAAC9E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36832272" w14:textId="49906D17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U 202</w:t>
      </w:r>
      <w:r w:rsidR="00701F61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 godini ostvareni prihod</w:t>
      </w:r>
      <w:r w:rsidR="001F4983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od donacija</w:t>
      </w:r>
      <w:r w:rsidR="001F4983"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 xml:space="preserve"> odnosi se na Područnu vatrogasnu zajednicu Buzet</w:t>
      </w:r>
      <w:r w:rsidR="001F4983">
        <w:rPr>
          <w:rFonts w:ascii="Arial" w:hAnsi="Arial" w:cs="Arial"/>
          <w:bCs/>
        </w:rPr>
        <w:t xml:space="preserve"> i Vatrogasnu zajednicu Istarske županije </w:t>
      </w:r>
      <w:r w:rsidR="00F31E32">
        <w:rPr>
          <w:rFonts w:ascii="Arial" w:hAnsi="Arial" w:cs="Arial"/>
          <w:bCs/>
        </w:rPr>
        <w:t xml:space="preserve"> te je to prihod </w:t>
      </w:r>
      <w:r>
        <w:rPr>
          <w:rFonts w:ascii="Arial" w:hAnsi="Arial" w:cs="Arial"/>
          <w:bCs/>
        </w:rPr>
        <w:t xml:space="preserve"> iznad minimalnog standarda.</w:t>
      </w:r>
    </w:p>
    <w:p w14:paraId="4A15F453" w14:textId="77777777" w:rsidR="000930D8" w:rsidRDefault="000930D8" w:rsidP="000930D8">
      <w:pPr>
        <w:jc w:val="both"/>
        <w:rPr>
          <w:rFonts w:ascii="Arial" w:hAnsi="Arial" w:cs="Arial"/>
          <w:bCs/>
        </w:rPr>
      </w:pPr>
    </w:p>
    <w:p w14:paraId="20D2785C" w14:textId="77777777" w:rsidR="000930D8" w:rsidRDefault="000930D8" w:rsidP="000930D8">
      <w:pPr>
        <w:jc w:val="both"/>
        <w:rPr>
          <w:rFonts w:ascii="Arial" w:hAnsi="Arial" w:cs="Arial"/>
          <w:bCs/>
        </w:rPr>
      </w:pPr>
    </w:p>
    <w:p w14:paraId="7182F963" w14:textId="77777777" w:rsidR="009F6B56" w:rsidRDefault="009F6B56" w:rsidP="000930D8">
      <w:pPr>
        <w:jc w:val="both"/>
        <w:rPr>
          <w:rFonts w:ascii="Arial" w:hAnsi="Arial" w:cs="Arial"/>
          <w:bCs/>
        </w:rPr>
      </w:pPr>
    </w:p>
    <w:p w14:paraId="60F8E9F1" w14:textId="77777777" w:rsidR="000B681F" w:rsidRDefault="000B681F" w:rsidP="00420E1D">
      <w:pPr>
        <w:jc w:val="both"/>
        <w:rPr>
          <w:rFonts w:ascii="Arial" w:hAnsi="Arial" w:cs="Arial"/>
        </w:rPr>
      </w:pPr>
    </w:p>
    <w:p w14:paraId="00CC8571" w14:textId="77777777" w:rsidR="000B681F" w:rsidRPr="002A0DF0" w:rsidRDefault="000B681F" w:rsidP="00420E1D">
      <w:pPr>
        <w:jc w:val="both"/>
        <w:rPr>
          <w:rFonts w:ascii="Arial" w:hAnsi="Arial" w:cs="Arial"/>
          <w:color w:val="FF0000"/>
        </w:rPr>
      </w:pPr>
    </w:p>
    <w:p w14:paraId="599AA2A9" w14:textId="10A30C76" w:rsidR="00420E1D" w:rsidRPr="00B616D6" w:rsidRDefault="00292C28" w:rsidP="00420E1D">
      <w:pPr>
        <w:pStyle w:val="Naslov2"/>
      </w:pPr>
      <w:bookmarkStart w:id="6" w:name="_Toc115274743"/>
      <w:bookmarkStart w:id="7" w:name="_Toc141888386"/>
      <w:proofErr w:type="spellStart"/>
      <w:r w:rsidRPr="00B616D6">
        <w:t>Rashodi</w:t>
      </w:r>
      <w:proofErr w:type="spellEnd"/>
      <w:r w:rsidRPr="00B616D6">
        <w:t xml:space="preserve"> i </w:t>
      </w:r>
      <w:proofErr w:type="spellStart"/>
      <w:r w:rsidRPr="00B616D6">
        <w:t>izdaci</w:t>
      </w:r>
      <w:bookmarkEnd w:id="6"/>
      <w:bookmarkEnd w:id="7"/>
      <w:proofErr w:type="spellEnd"/>
      <w:r w:rsidRPr="00B616D6">
        <w:t xml:space="preserve"> </w:t>
      </w:r>
    </w:p>
    <w:p w14:paraId="1C5F1207" w14:textId="77777777" w:rsidR="00420E1D" w:rsidRPr="002A0DF0" w:rsidRDefault="00420E1D" w:rsidP="00420E1D">
      <w:pPr>
        <w:jc w:val="both"/>
        <w:rPr>
          <w:rFonts w:ascii="Arial" w:hAnsi="Arial" w:cs="Arial"/>
          <w:color w:val="FF0000"/>
        </w:rPr>
      </w:pPr>
    </w:p>
    <w:p w14:paraId="4DC86D15" w14:textId="6C63A329" w:rsidR="00806B01" w:rsidRPr="00B616D6" w:rsidRDefault="00885B15" w:rsidP="00420E1D">
      <w:pPr>
        <w:jc w:val="both"/>
        <w:rPr>
          <w:rFonts w:ascii="Arial" w:hAnsi="Arial" w:cs="Arial"/>
        </w:rPr>
      </w:pPr>
      <w:r w:rsidRPr="00B616D6">
        <w:rPr>
          <w:rFonts w:ascii="Arial" w:hAnsi="Arial" w:cs="Arial"/>
        </w:rPr>
        <w:t xml:space="preserve">Rashodi su planirani u iznosu od </w:t>
      </w:r>
      <w:r w:rsidR="00362CC4">
        <w:rPr>
          <w:rFonts w:ascii="Arial" w:hAnsi="Arial" w:cs="Arial"/>
        </w:rPr>
        <w:t>86</w:t>
      </w:r>
      <w:r w:rsidR="00520E96">
        <w:rPr>
          <w:rFonts w:ascii="Arial" w:hAnsi="Arial" w:cs="Arial"/>
        </w:rPr>
        <w:t>0.309,09</w:t>
      </w:r>
      <w:r w:rsidR="00E50AEF">
        <w:rPr>
          <w:rFonts w:ascii="Arial" w:hAnsi="Arial" w:cs="Arial"/>
        </w:rPr>
        <w:t xml:space="preserve"> </w:t>
      </w:r>
      <w:r w:rsidRPr="00B616D6">
        <w:rPr>
          <w:rFonts w:ascii="Arial" w:hAnsi="Arial" w:cs="Arial"/>
        </w:rPr>
        <w:t xml:space="preserve">eura,  a u izvještajnom razdoblju ostvareni u iznosu od </w:t>
      </w:r>
      <w:r w:rsidR="00520E96">
        <w:rPr>
          <w:rFonts w:ascii="Arial" w:hAnsi="Arial" w:cs="Arial"/>
        </w:rPr>
        <w:t>843.269,68</w:t>
      </w:r>
      <w:r w:rsidRPr="00B616D6">
        <w:rPr>
          <w:rFonts w:ascii="Arial" w:hAnsi="Arial" w:cs="Arial"/>
        </w:rPr>
        <w:t xml:space="preserve"> eura.</w:t>
      </w:r>
    </w:p>
    <w:p w14:paraId="25894CCD" w14:textId="77777777" w:rsidR="00B66EB6" w:rsidRDefault="00B66EB6" w:rsidP="00420E1D">
      <w:pPr>
        <w:jc w:val="both"/>
        <w:rPr>
          <w:rFonts w:ascii="Arial" w:hAnsi="Arial" w:cs="Arial"/>
        </w:rPr>
      </w:pPr>
    </w:p>
    <w:tbl>
      <w:tblPr>
        <w:tblW w:w="9656" w:type="dxa"/>
        <w:tblLook w:val="04A0" w:firstRow="1" w:lastRow="0" w:firstColumn="1" w:lastColumn="0" w:noHBand="0" w:noVBand="1"/>
      </w:tblPr>
      <w:tblGrid>
        <w:gridCol w:w="940"/>
        <w:gridCol w:w="5680"/>
        <w:gridCol w:w="1636"/>
        <w:gridCol w:w="1400"/>
      </w:tblGrid>
      <w:tr w:rsidR="00B66EB6" w14:paraId="7029AA2E" w14:textId="77777777" w:rsidTr="00A23D48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756F15D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D763235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PRIHODA / RASHODA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A7108A6" w14:textId="244952A8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PLAN 202</w:t>
            </w:r>
            <w:r w:rsidR="006766F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D65A9A2" w14:textId="6651D6F9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202</w:t>
            </w:r>
            <w:r w:rsidR="006766F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66EB6" w14:paraId="4C5FFC3F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9728A25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A2A626B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70E6676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E7D6A34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B66EB6" w14:paraId="390C2825" w14:textId="77777777" w:rsidTr="00A23D48">
        <w:trPr>
          <w:trHeight w:val="255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95CCEF0" w14:textId="77777777" w:rsidR="00B66EB6" w:rsidRPr="009567E7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87B7CB2" w14:textId="77777777" w:rsidR="00B66EB6" w:rsidRPr="009567E7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546B7248" w14:textId="77777777" w:rsidR="00B66EB6" w:rsidRPr="009567E7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6EB6" w14:paraId="2BD7B344" w14:textId="77777777" w:rsidTr="005B7D7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EDCC34C" w14:textId="77777777" w:rsidR="00B66EB6" w:rsidRPr="009567E7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63CF474" w14:textId="77777777" w:rsidR="00B66EB6" w:rsidRPr="009567E7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0AD7782" w14:textId="77777777" w:rsidR="005B7D79" w:rsidRDefault="005B7D79" w:rsidP="005B7D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860.309,09</w:t>
            </w:r>
          </w:p>
          <w:p w14:paraId="2B7AE8AC" w14:textId="5A973EF9" w:rsidR="00B66EB6" w:rsidRPr="009567E7" w:rsidRDefault="00B66EB6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</w:tcPr>
          <w:p w14:paraId="253CE2DB" w14:textId="628FBBD5" w:rsidR="00B66EB6" w:rsidRPr="009567E7" w:rsidRDefault="005B7D7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843.269,68</w:t>
            </w:r>
          </w:p>
        </w:tc>
      </w:tr>
      <w:tr w:rsidR="00B66EB6" w14:paraId="09BD5D14" w14:textId="77777777" w:rsidTr="005B7D7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0B07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BE6C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9F586" w14:textId="73D9871F" w:rsidR="00B66EB6" w:rsidRDefault="005B7D7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760.675,22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E9AC" w14:textId="029B116A" w:rsidR="00B66EB6" w:rsidRDefault="005B7D7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759.628,81</w:t>
            </w:r>
          </w:p>
        </w:tc>
      </w:tr>
      <w:tr w:rsidR="00B66EB6" w:rsidRPr="00573408" w14:paraId="3888F030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89D4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6162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Plaće (Bruto)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BE81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FC6F" w14:textId="123BCEEC" w:rsidR="00B66EB6" w:rsidRPr="00573408" w:rsidRDefault="005B7D7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575.231,14</w:t>
            </w:r>
          </w:p>
        </w:tc>
      </w:tr>
      <w:tr w:rsidR="00B66EB6" w:rsidRPr="00573408" w14:paraId="2DC426F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454E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B71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rashodi za zaposlene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0EC8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E580" w14:textId="05497B36" w:rsidR="00B66EB6" w:rsidRPr="00573408" w:rsidRDefault="005B7D7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47.277,41</w:t>
            </w:r>
          </w:p>
        </w:tc>
      </w:tr>
      <w:tr w:rsidR="00B66EB6" w:rsidRPr="00573408" w14:paraId="1C64E679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4FF6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75F9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Doprinosi na plaće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909F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0253" w14:textId="11F4194B" w:rsidR="00B66EB6" w:rsidRPr="00573408" w:rsidRDefault="005B7D7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137.120,26</w:t>
            </w:r>
          </w:p>
        </w:tc>
      </w:tr>
      <w:tr w:rsidR="00B66EB6" w14:paraId="1D15F5D6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6BE6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3C61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4FAB" w14:textId="7650C3D0" w:rsidR="00B66EB6" w:rsidRDefault="005B7D7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96.780,74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4BD5" w14:textId="697D59B6" w:rsidR="00B66EB6" w:rsidRDefault="005B7D7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80.865,10</w:t>
            </w:r>
          </w:p>
        </w:tc>
      </w:tr>
      <w:tr w:rsidR="00B66EB6" w:rsidRPr="00573408" w14:paraId="2D7E1893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C2D8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C9D5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E9D7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A184" w14:textId="0C53ECCE" w:rsidR="00B66EB6" w:rsidRPr="00573408" w:rsidRDefault="005B7D7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17.450,20</w:t>
            </w:r>
          </w:p>
        </w:tc>
      </w:tr>
      <w:tr w:rsidR="00B66EB6" w:rsidRPr="00573408" w14:paraId="198DD9B5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8E27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4456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6CBD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4BCE" w14:textId="076D5162" w:rsidR="00B66EB6" w:rsidRPr="00573408" w:rsidRDefault="005B7D7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41.596,22</w:t>
            </w:r>
          </w:p>
        </w:tc>
      </w:tr>
      <w:tr w:rsidR="00B66EB6" w:rsidRPr="00573408" w14:paraId="5AC12B7A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AD3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4872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E8F2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7A35" w14:textId="0B07D0D4" w:rsidR="00B66EB6" w:rsidRPr="00573408" w:rsidRDefault="005B7D7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20.000,13</w:t>
            </w:r>
          </w:p>
        </w:tc>
      </w:tr>
      <w:tr w:rsidR="00B66EB6" w:rsidRPr="00573408" w14:paraId="5E83B242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DA8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87BA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nespomenuti rashodi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B401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3E23" w14:textId="0E436920" w:rsidR="00B66EB6" w:rsidRPr="00573408" w:rsidRDefault="005B7D7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1.818,55</w:t>
            </w:r>
          </w:p>
        </w:tc>
      </w:tr>
      <w:tr w:rsidR="00B66EB6" w14:paraId="3938C2D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7D3E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A99D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A9B4" w14:textId="40DFEC8E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24AC" w14:textId="696AEE8D" w:rsidR="00B66EB6" w:rsidRDefault="005B7D7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613,22</w:t>
            </w:r>
          </w:p>
        </w:tc>
      </w:tr>
      <w:tr w:rsidR="00B66EB6" w:rsidRPr="00573408" w14:paraId="02D16511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4CC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87B3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financijski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CA73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7140" w14:textId="5D1FCF2B" w:rsidR="00B66EB6" w:rsidRPr="00573408" w:rsidRDefault="005B7D7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613,22</w:t>
            </w:r>
          </w:p>
        </w:tc>
      </w:tr>
      <w:tr w:rsidR="00B66EB6" w14:paraId="258E45FB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61EF539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CB26074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Rashodi za nabavu nefinancijske imovine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22B1D54" w14:textId="6EBA798B" w:rsidR="00B66EB6" w:rsidRDefault="002E33FE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2.162,55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B10FB88" w14:textId="0682B572" w:rsidR="00B66EB6" w:rsidRDefault="002E33FE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2.162,55</w:t>
            </w:r>
          </w:p>
        </w:tc>
      </w:tr>
      <w:tr w:rsidR="00B66EB6" w14:paraId="0CB6169D" w14:textId="77777777" w:rsidTr="0082000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8327" w14:textId="0CA0B8FC" w:rsidR="00E50AEF" w:rsidRDefault="00E50AEF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74841" w14:textId="53CB5111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BE4B2" w14:textId="045BE0CA" w:rsidR="00B66EB6" w:rsidRDefault="00B66EB6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13689" w14:textId="7BD06266" w:rsidR="00B66EB6" w:rsidRDefault="00B66EB6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AEF" w14:paraId="48D2D437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43A83" w14:textId="0CBF65AB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5B299" w14:textId="0CE542D0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14690" w14:textId="77777777" w:rsidR="00E50AEF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CD7E3" w14:textId="77777777" w:rsidR="00E50AEF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AEF" w14:paraId="771B8732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1172D" w14:textId="0A1BC8D5" w:rsidR="00E50AEF" w:rsidRPr="00820009" w:rsidRDefault="00E50AEF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009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2DB7E" w14:textId="308848DE" w:rsidR="00E50AEF" w:rsidRPr="00820009" w:rsidRDefault="00E50AEF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009">
              <w:rPr>
                <w:rFonts w:ascii="Arial" w:hAnsi="Arial" w:cs="Arial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B1885" w14:textId="3C636480" w:rsidR="00E50AEF" w:rsidRDefault="00E50AEF" w:rsidP="00E50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="002E33FE">
              <w:rPr>
                <w:rFonts w:ascii="Arial" w:hAnsi="Arial" w:cs="Arial"/>
                <w:b/>
                <w:bCs/>
                <w:sz w:val="20"/>
                <w:szCs w:val="20"/>
              </w:rPr>
              <w:t>2.162,55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8A129" w14:textId="33325B77" w:rsidR="00E50AEF" w:rsidRDefault="002E33FE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2.162,55</w:t>
            </w:r>
          </w:p>
        </w:tc>
      </w:tr>
      <w:tr w:rsidR="00B66EB6" w:rsidRPr="00573408" w14:paraId="743A64B3" w14:textId="77777777" w:rsidTr="00E50AEF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4DA4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66CB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Postrojenja i oprema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47E6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40758" w14:textId="30675C9F" w:rsidR="00B66EB6" w:rsidRPr="00573408" w:rsidRDefault="00B66EB6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B6" w14:paraId="0E645CC0" w14:textId="77777777" w:rsidTr="0082000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62DE5" w14:textId="4BD0491D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BA898" w14:textId="34DE362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FB98A" w14:textId="5A27686E" w:rsidR="00B66EB6" w:rsidRDefault="00B66EB6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DD9AB" w14:textId="365446A8" w:rsidR="00B66EB6" w:rsidRDefault="00B66EB6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6EB6" w:rsidRPr="00573408" w14:paraId="04E9CD9C" w14:textId="77777777" w:rsidTr="0082000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6ED3E" w14:textId="69F988FC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845E8" w14:textId="41A4CA81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E9BB6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88B6D" w14:textId="1091BA4D" w:rsidR="00B66EB6" w:rsidRPr="00573408" w:rsidRDefault="00B66EB6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B6" w14:paraId="73A8C1A2" w14:textId="77777777" w:rsidTr="00A23D48">
        <w:trPr>
          <w:trHeight w:val="255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8819A90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C. RASPOLOŽIVA SREDSTVA IZ PRETHODNIH GODINA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3F134554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61577823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66EB6" w14:paraId="625FE79D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196BC6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485196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Vlastiti izvori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6ECC58" w14:textId="7E872754" w:rsidR="00B66EB6" w:rsidRDefault="00254887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16.378,42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A2388A" w14:textId="413EA130" w:rsidR="00B66EB6" w:rsidRDefault="00D84C7C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13.908,23</w:t>
            </w:r>
          </w:p>
        </w:tc>
      </w:tr>
      <w:tr w:rsidR="00B66EB6" w14:paraId="2595D2F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57F1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6D3A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Rezultat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1825" w14:textId="43ACD5F2" w:rsidR="00B66EB6" w:rsidRDefault="00254887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16.378,42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279E" w14:textId="632A3570" w:rsidR="00B66EB6" w:rsidRDefault="00D84C7C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13.908,23</w:t>
            </w:r>
          </w:p>
        </w:tc>
      </w:tr>
      <w:tr w:rsidR="00B66EB6" w14:paraId="2D69CD86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C750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49FD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prihoda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478C" w14:textId="68EBF43E" w:rsidR="00B66EB6" w:rsidRDefault="00254887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16.378,42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C17D" w14:textId="2C0392AC" w:rsidR="00B66EB6" w:rsidRDefault="00D84C7C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13.908,23</w:t>
            </w:r>
          </w:p>
        </w:tc>
      </w:tr>
      <w:tr w:rsidR="00B66EB6" w14:paraId="66A4F391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63EC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3133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prihoda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2A8C" w14:textId="4AB25129" w:rsidR="00B66EB6" w:rsidRDefault="00254887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16.378,42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1F78" w14:textId="558624F9" w:rsidR="00B66EB6" w:rsidRDefault="00D84C7C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13.908,23</w:t>
            </w:r>
          </w:p>
        </w:tc>
      </w:tr>
    </w:tbl>
    <w:p w14:paraId="78B5C4EF" w14:textId="77777777" w:rsidR="00B66EB6" w:rsidRDefault="00B66EB6" w:rsidP="00420E1D">
      <w:pPr>
        <w:jc w:val="both"/>
        <w:rPr>
          <w:rFonts w:ascii="Arial" w:hAnsi="Arial" w:cs="Arial"/>
        </w:rPr>
      </w:pPr>
    </w:p>
    <w:p w14:paraId="27344329" w14:textId="77777777" w:rsidR="00071E2A" w:rsidRDefault="00071E2A" w:rsidP="00420E1D">
      <w:pPr>
        <w:jc w:val="both"/>
        <w:rPr>
          <w:rFonts w:ascii="Arial" w:hAnsi="Arial" w:cs="Arial"/>
        </w:rPr>
      </w:pPr>
    </w:p>
    <w:p w14:paraId="2922CB3D" w14:textId="77777777" w:rsidR="0089724E" w:rsidRDefault="0089724E" w:rsidP="00420E1D">
      <w:pPr>
        <w:jc w:val="both"/>
        <w:rPr>
          <w:rFonts w:ascii="Arial" w:hAnsi="Arial" w:cs="Arial"/>
        </w:rPr>
      </w:pPr>
    </w:p>
    <w:p w14:paraId="24D7D2BA" w14:textId="77777777" w:rsidR="0089724E" w:rsidRDefault="0089724E" w:rsidP="00420E1D">
      <w:pPr>
        <w:jc w:val="both"/>
        <w:rPr>
          <w:rFonts w:ascii="Arial" w:hAnsi="Arial" w:cs="Arial"/>
        </w:rPr>
      </w:pPr>
    </w:p>
    <w:p w14:paraId="22078BF3" w14:textId="77777777" w:rsidR="005C68AE" w:rsidRDefault="005C68AE" w:rsidP="00420E1D">
      <w:pPr>
        <w:jc w:val="both"/>
        <w:rPr>
          <w:rFonts w:ascii="Arial" w:hAnsi="Arial" w:cs="Arial"/>
        </w:rPr>
      </w:pPr>
    </w:p>
    <w:p w14:paraId="4586E207" w14:textId="77777777" w:rsidR="005C68AE" w:rsidRDefault="005C68AE" w:rsidP="00420E1D">
      <w:pPr>
        <w:jc w:val="both"/>
        <w:rPr>
          <w:rFonts w:ascii="Arial" w:hAnsi="Arial" w:cs="Arial"/>
        </w:rPr>
      </w:pPr>
    </w:p>
    <w:p w14:paraId="466CDF89" w14:textId="77777777" w:rsidR="005C68AE" w:rsidRDefault="005C68AE" w:rsidP="00420E1D">
      <w:pPr>
        <w:jc w:val="both"/>
        <w:rPr>
          <w:rFonts w:ascii="Arial" w:hAnsi="Arial" w:cs="Arial"/>
        </w:rPr>
      </w:pPr>
    </w:p>
    <w:p w14:paraId="78807E10" w14:textId="77777777" w:rsidR="005C68AE" w:rsidRDefault="005C68AE" w:rsidP="00420E1D">
      <w:pPr>
        <w:jc w:val="both"/>
        <w:rPr>
          <w:rFonts w:ascii="Arial" w:hAnsi="Arial" w:cs="Arial"/>
        </w:rPr>
      </w:pPr>
    </w:p>
    <w:p w14:paraId="35591FB3" w14:textId="77777777" w:rsidR="005C68AE" w:rsidRDefault="005C68AE" w:rsidP="00420E1D">
      <w:pPr>
        <w:jc w:val="both"/>
        <w:rPr>
          <w:rFonts w:ascii="Arial" w:hAnsi="Arial" w:cs="Arial"/>
        </w:rPr>
      </w:pPr>
    </w:p>
    <w:p w14:paraId="193CCC8B" w14:textId="77777777" w:rsidR="00AF326E" w:rsidRDefault="00AF326E" w:rsidP="00420E1D">
      <w:pPr>
        <w:jc w:val="both"/>
        <w:rPr>
          <w:rFonts w:ascii="Arial" w:hAnsi="Arial" w:cs="Arial"/>
        </w:rPr>
      </w:pPr>
    </w:p>
    <w:p w14:paraId="6149517B" w14:textId="77777777" w:rsidR="0089724E" w:rsidRDefault="0089724E" w:rsidP="00420E1D">
      <w:pPr>
        <w:jc w:val="both"/>
        <w:rPr>
          <w:rFonts w:ascii="Arial" w:hAnsi="Arial" w:cs="Arial"/>
        </w:rPr>
      </w:pPr>
    </w:p>
    <w:p w14:paraId="5C258AB6" w14:textId="5B3F40DD" w:rsidR="008D585E" w:rsidRDefault="00822EBD" w:rsidP="00420E1D">
      <w:pPr>
        <w:jc w:val="both"/>
        <w:rPr>
          <w:rFonts w:ascii="Arial" w:hAnsi="Arial" w:cs="Arial"/>
          <w:b/>
          <w:bCs/>
        </w:rPr>
      </w:pPr>
      <w:r w:rsidRPr="002B2501">
        <w:rPr>
          <w:rFonts w:ascii="Arial" w:hAnsi="Arial" w:cs="Arial"/>
          <w:b/>
          <w:bCs/>
        </w:rPr>
        <w:t>3</w:t>
      </w:r>
      <w:r w:rsidR="00E25627" w:rsidRPr="002B2501">
        <w:rPr>
          <w:rFonts w:ascii="Arial" w:hAnsi="Arial" w:cs="Arial"/>
          <w:b/>
          <w:bCs/>
        </w:rPr>
        <w:t xml:space="preserve"> – R</w:t>
      </w:r>
      <w:r w:rsidR="007D74E1">
        <w:rPr>
          <w:rFonts w:ascii="Arial" w:hAnsi="Arial" w:cs="Arial"/>
          <w:b/>
          <w:bCs/>
        </w:rPr>
        <w:t>ASHODI POSLOVANJA</w:t>
      </w:r>
    </w:p>
    <w:p w14:paraId="3B580B57" w14:textId="77777777" w:rsidR="007D74E1" w:rsidRDefault="007D74E1" w:rsidP="00420E1D">
      <w:pPr>
        <w:jc w:val="both"/>
        <w:rPr>
          <w:rFonts w:ascii="Arial" w:hAnsi="Arial" w:cs="Arial"/>
          <w:b/>
          <w:bCs/>
        </w:rPr>
      </w:pPr>
    </w:p>
    <w:p w14:paraId="64081A99" w14:textId="05B0046F" w:rsidR="007D74E1" w:rsidRDefault="007D74E1" w:rsidP="00420E1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RASHODI ZA ZAPOSLENE</w:t>
      </w:r>
    </w:p>
    <w:p w14:paraId="51D8A06F" w14:textId="77777777" w:rsidR="009B7C9F" w:rsidRDefault="009B7C9F" w:rsidP="00420E1D">
      <w:pPr>
        <w:jc w:val="both"/>
        <w:rPr>
          <w:rFonts w:ascii="Arial" w:hAnsi="Arial" w:cs="Arial"/>
          <w:b/>
          <w:bCs/>
          <w:u w:val="single"/>
        </w:rPr>
      </w:pPr>
    </w:p>
    <w:p w14:paraId="64C31BCF" w14:textId="77777777" w:rsidR="009B7C9F" w:rsidRDefault="009B7C9F" w:rsidP="00420E1D">
      <w:pPr>
        <w:jc w:val="both"/>
        <w:rPr>
          <w:rFonts w:ascii="Arial" w:hAnsi="Arial" w:cs="Arial"/>
          <w:b/>
          <w:bCs/>
          <w:u w:val="single"/>
        </w:rPr>
      </w:pPr>
    </w:p>
    <w:p w14:paraId="4E145AD1" w14:textId="4B08BDAA" w:rsidR="009B7C9F" w:rsidRPr="009B7C9F" w:rsidRDefault="009B7C9F" w:rsidP="009B7C9F">
      <w:pPr>
        <w:spacing w:after="160" w:line="278" w:lineRule="auto"/>
        <w:jc w:val="both"/>
        <w:rPr>
          <w:rFonts w:ascii="Arial" w:hAnsi="Arial" w:cs="Arial"/>
          <w:szCs w:val="20"/>
        </w:rPr>
      </w:pPr>
      <w:r w:rsidRPr="009B7C9F">
        <w:rPr>
          <w:rFonts w:ascii="Arial" w:hAnsi="Arial" w:cs="Arial"/>
          <w:szCs w:val="20"/>
        </w:rPr>
        <w:t xml:space="preserve">Od </w:t>
      </w:r>
      <w:r>
        <w:rPr>
          <w:rFonts w:ascii="Arial" w:hAnsi="Arial" w:cs="Arial"/>
          <w:szCs w:val="20"/>
        </w:rPr>
        <w:t>30</w:t>
      </w:r>
      <w:r w:rsidRPr="009B7C9F">
        <w:rPr>
          <w:rFonts w:ascii="Arial" w:hAnsi="Arial" w:cs="Arial"/>
          <w:szCs w:val="20"/>
        </w:rPr>
        <w:t>.siječnja</w:t>
      </w:r>
      <w:r>
        <w:rPr>
          <w:rFonts w:ascii="Arial" w:hAnsi="Arial" w:cs="Arial"/>
          <w:szCs w:val="20"/>
        </w:rPr>
        <w:t xml:space="preserve"> 2025 . godine </w:t>
      </w:r>
      <w:r w:rsidRPr="009B7C9F">
        <w:rPr>
          <w:rFonts w:ascii="Arial" w:hAnsi="Arial" w:cs="Arial"/>
          <w:szCs w:val="20"/>
        </w:rPr>
        <w:t xml:space="preserve"> na snazi je novi Kolektivni ugovor za radnike JVP </w:t>
      </w:r>
      <w:r>
        <w:rPr>
          <w:rFonts w:ascii="Arial" w:hAnsi="Arial" w:cs="Arial"/>
          <w:szCs w:val="20"/>
        </w:rPr>
        <w:t>Buzet</w:t>
      </w:r>
      <w:r w:rsidRPr="009B7C9F">
        <w:rPr>
          <w:rFonts w:ascii="Arial" w:hAnsi="Arial" w:cs="Arial"/>
          <w:szCs w:val="20"/>
        </w:rPr>
        <w:t xml:space="preserve"> koji je usklađen s Pravilnikom o klasifikaciji radnih mjesta profesionalnih vatrogasaca, mjerilima za njihovo utvrđivanje i koeficijentima složenosti poslova</w:t>
      </w:r>
      <w:r>
        <w:rPr>
          <w:rFonts w:ascii="Arial" w:hAnsi="Arial" w:cs="Arial"/>
          <w:szCs w:val="20"/>
        </w:rPr>
        <w:t>, te je 01.09.2025.  godine došlo do povećanja osnovice za pače iz 840,00 na 947,18 eura ,</w:t>
      </w:r>
      <w:r w:rsidRPr="009B7C9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n</w:t>
      </w:r>
      <w:r w:rsidRPr="009B7C9F">
        <w:rPr>
          <w:rFonts w:ascii="Arial" w:hAnsi="Arial" w:cs="Arial"/>
          <w:szCs w:val="20"/>
        </w:rPr>
        <w:t>ove odredbe Kolektivnog ugovora</w:t>
      </w:r>
      <w:r>
        <w:rPr>
          <w:rFonts w:ascii="Arial" w:hAnsi="Arial" w:cs="Arial"/>
          <w:szCs w:val="20"/>
        </w:rPr>
        <w:t xml:space="preserve"> </w:t>
      </w:r>
      <w:r w:rsidRPr="009B7C9F">
        <w:rPr>
          <w:rFonts w:ascii="Arial" w:hAnsi="Arial" w:cs="Arial"/>
          <w:szCs w:val="20"/>
        </w:rPr>
        <w:t xml:space="preserve"> su utjecale na povećanje rashoda za bruto plaće.</w:t>
      </w:r>
    </w:p>
    <w:p w14:paraId="1AE53619" w14:textId="77777777" w:rsidR="00822EBD" w:rsidRPr="002A0DF0" w:rsidRDefault="00822EBD" w:rsidP="00420E1D">
      <w:pPr>
        <w:jc w:val="both"/>
        <w:rPr>
          <w:rFonts w:ascii="Arial" w:hAnsi="Arial" w:cs="Arial"/>
          <w:color w:val="FF0000"/>
        </w:rPr>
      </w:pPr>
    </w:p>
    <w:p w14:paraId="63899320" w14:textId="02E3E487" w:rsidR="00717503" w:rsidRDefault="008D585E" w:rsidP="00717503">
      <w:pPr>
        <w:ind w:firstLine="708"/>
        <w:jc w:val="both"/>
        <w:rPr>
          <w:rFonts w:ascii="Arial" w:hAnsi="Arial" w:cs="Arial"/>
          <w:color w:val="FF0000"/>
        </w:rPr>
      </w:pPr>
      <w:r w:rsidRPr="002B2501">
        <w:rPr>
          <w:rFonts w:ascii="Arial" w:hAnsi="Arial" w:cs="Arial"/>
          <w:b/>
          <w:bCs/>
        </w:rPr>
        <w:t>311 Plaće za zaposlene</w:t>
      </w:r>
      <w:r w:rsidRPr="002B2501">
        <w:rPr>
          <w:rFonts w:ascii="Arial" w:hAnsi="Arial" w:cs="Arial"/>
        </w:rPr>
        <w:t xml:space="preserve"> odnose se na </w:t>
      </w:r>
      <w:r w:rsidR="00717503">
        <w:rPr>
          <w:rFonts w:ascii="Arial" w:hAnsi="Arial" w:cs="Arial"/>
        </w:rPr>
        <w:t>2</w:t>
      </w:r>
      <w:r w:rsidR="0038712C">
        <w:rPr>
          <w:rFonts w:ascii="Arial" w:hAnsi="Arial" w:cs="Arial"/>
        </w:rPr>
        <w:t>3</w:t>
      </w:r>
      <w:r w:rsidRPr="002B2501">
        <w:rPr>
          <w:rFonts w:ascii="Arial" w:hAnsi="Arial" w:cs="Arial"/>
        </w:rPr>
        <w:t xml:space="preserve"> zaposlenih u </w:t>
      </w:r>
      <w:r w:rsidR="002B2501" w:rsidRPr="002B2501">
        <w:rPr>
          <w:rFonts w:ascii="Arial" w:hAnsi="Arial" w:cs="Arial"/>
        </w:rPr>
        <w:t xml:space="preserve">Javnoj vatrogasnoj postrojbi </w:t>
      </w:r>
      <w:r w:rsidRPr="002B2501">
        <w:rPr>
          <w:rFonts w:ascii="Arial" w:hAnsi="Arial" w:cs="Arial"/>
        </w:rPr>
        <w:t xml:space="preserve"> Buzet. Od toga su </w:t>
      </w:r>
      <w:r w:rsidR="0038712C">
        <w:rPr>
          <w:rFonts w:ascii="Arial" w:hAnsi="Arial" w:cs="Arial"/>
        </w:rPr>
        <w:t>21</w:t>
      </w:r>
      <w:r w:rsidR="002B2501" w:rsidRPr="002B2501">
        <w:rPr>
          <w:rFonts w:ascii="Arial" w:hAnsi="Arial" w:cs="Arial"/>
        </w:rPr>
        <w:t xml:space="preserve"> vatrogasac sa zapovjednikom, 1 </w:t>
      </w:r>
      <w:r w:rsidR="00341CFC">
        <w:rPr>
          <w:rFonts w:ascii="Arial" w:hAnsi="Arial" w:cs="Arial"/>
        </w:rPr>
        <w:t>voditelj računovodstva</w:t>
      </w:r>
      <w:r w:rsidR="002B2501" w:rsidRPr="002B2501">
        <w:rPr>
          <w:rFonts w:ascii="Arial" w:hAnsi="Arial" w:cs="Arial"/>
        </w:rPr>
        <w:t xml:space="preserve"> i 1 spremačica</w:t>
      </w:r>
      <w:r w:rsidR="00717503">
        <w:rPr>
          <w:rFonts w:ascii="Arial" w:hAnsi="Arial" w:cs="Arial"/>
          <w:color w:val="FF0000"/>
        </w:rPr>
        <w:t>.</w:t>
      </w:r>
      <w:r w:rsidR="007F37C6">
        <w:rPr>
          <w:rFonts w:ascii="Arial" w:hAnsi="Arial" w:cs="Arial"/>
          <w:color w:val="FF0000"/>
        </w:rPr>
        <w:t xml:space="preserve"> </w:t>
      </w:r>
      <w:r w:rsidRPr="002A0DF0">
        <w:rPr>
          <w:rFonts w:ascii="Arial" w:hAnsi="Arial" w:cs="Arial"/>
          <w:color w:val="FF0000"/>
        </w:rPr>
        <w:t xml:space="preserve"> </w:t>
      </w:r>
    </w:p>
    <w:p w14:paraId="03254D5B" w14:textId="3C909F8E" w:rsidR="00341CFC" w:rsidRDefault="00AF5470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Prema </w:t>
      </w:r>
      <w:r w:rsidR="00F42625">
        <w:rPr>
          <w:rFonts w:ascii="Arial" w:hAnsi="Arial" w:cs="Arial"/>
        </w:rPr>
        <w:t xml:space="preserve">Procjeni opasnosti od požara za Grad Buzet </w:t>
      </w:r>
      <w:r w:rsidR="0038712C">
        <w:rPr>
          <w:rFonts w:ascii="Arial" w:hAnsi="Arial" w:cs="Arial"/>
        </w:rPr>
        <w:t xml:space="preserve">zaposlen je točan broj </w:t>
      </w:r>
      <w:r w:rsidR="00F42625">
        <w:rPr>
          <w:rFonts w:ascii="Arial" w:hAnsi="Arial" w:cs="Arial"/>
        </w:rPr>
        <w:t xml:space="preserve"> vatrogas</w:t>
      </w:r>
      <w:r w:rsidR="00341CFC">
        <w:rPr>
          <w:rFonts w:ascii="Arial" w:hAnsi="Arial" w:cs="Arial"/>
        </w:rPr>
        <w:t>a</w:t>
      </w:r>
      <w:r w:rsidR="00F42625">
        <w:rPr>
          <w:rFonts w:ascii="Arial" w:hAnsi="Arial" w:cs="Arial"/>
        </w:rPr>
        <w:t>c</w:t>
      </w:r>
      <w:r w:rsidR="0038712C">
        <w:rPr>
          <w:rFonts w:ascii="Arial" w:hAnsi="Arial" w:cs="Arial"/>
        </w:rPr>
        <w:t>a</w:t>
      </w:r>
      <w:r w:rsidR="00F42625">
        <w:rPr>
          <w:rFonts w:ascii="Arial" w:hAnsi="Arial" w:cs="Arial"/>
        </w:rPr>
        <w:t>.</w:t>
      </w:r>
    </w:p>
    <w:p w14:paraId="53CB36A6" w14:textId="7AFAD0B3" w:rsidR="00717503" w:rsidRDefault="00F42625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79108CB" w14:textId="3D116AF2" w:rsidR="00EB7E76" w:rsidRDefault="007F37C6" w:rsidP="007362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</w:t>
      </w:r>
      <w:r w:rsidR="008D585E" w:rsidRPr="00486A2C">
        <w:rPr>
          <w:rFonts w:ascii="Arial" w:hAnsi="Arial" w:cs="Arial"/>
        </w:rPr>
        <w:t xml:space="preserve">Iz </w:t>
      </w:r>
      <w:r w:rsidR="00486A2C" w:rsidRPr="00486A2C">
        <w:rPr>
          <w:rFonts w:ascii="Arial" w:hAnsi="Arial" w:cs="Arial"/>
        </w:rPr>
        <w:t xml:space="preserve"> Državnog proračuna planirano je 3</w:t>
      </w:r>
      <w:r w:rsidR="0038712C">
        <w:rPr>
          <w:rFonts w:ascii="Arial" w:hAnsi="Arial" w:cs="Arial"/>
        </w:rPr>
        <w:t>90,044</w:t>
      </w:r>
      <w:r w:rsidR="00486A2C" w:rsidRPr="00486A2C">
        <w:rPr>
          <w:rFonts w:ascii="Arial" w:hAnsi="Arial" w:cs="Arial"/>
        </w:rPr>
        <w:t xml:space="preserve">,00 eura za plaće </w:t>
      </w:r>
      <w:r w:rsidR="00341CFC">
        <w:rPr>
          <w:rFonts w:ascii="Arial" w:hAnsi="Arial" w:cs="Arial"/>
        </w:rPr>
        <w:t>i materijalni trošak a</w:t>
      </w:r>
      <w:r w:rsidR="00486A2C" w:rsidRPr="00486A2C">
        <w:rPr>
          <w:rFonts w:ascii="Arial" w:hAnsi="Arial" w:cs="Arial"/>
        </w:rPr>
        <w:t xml:space="preserve"> ostvareno je  </w:t>
      </w:r>
      <w:r w:rsidR="0038712C">
        <w:rPr>
          <w:rFonts w:ascii="Arial" w:hAnsi="Arial" w:cs="Arial"/>
        </w:rPr>
        <w:t>100</w:t>
      </w:r>
      <w:r w:rsidR="00341CFC">
        <w:rPr>
          <w:rFonts w:ascii="Arial" w:hAnsi="Arial" w:cs="Arial"/>
        </w:rPr>
        <w:t xml:space="preserve"> </w:t>
      </w:r>
      <w:r w:rsidR="00486A2C" w:rsidRPr="00486A2C">
        <w:rPr>
          <w:rFonts w:ascii="Arial" w:hAnsi="Arial" w:cs="Arial"/>
        </w:rPr>
        <w:t>% od plana</w:t>
      </w:r>
      <w:r w:rsidR="00717503">
        <w:rPr>
          <w:rFonts w:ascii="Arial" w:hAnsi="Arial" w:cs="Arial"/>
        </w:rPr>
        <w:t>.</w:t>
      </w:r>
      <w:r w:rsidR="00E34750">
        <w:rPr>
          <w:rFonts w:ascii="Arial" w:hAnsi="Arial" w:cs="Arial"/>
        </w:rPr>
        <w:t xml:space="preserve"> Početkom godine donesena je Odluka o minimalnim financijskim standardima za decentralizirane funkcije vatrogastva za 202</w:t>
      </w:r>
      <w:r w:rsidR="00341CFC">
        <w:rPr>
          <w:rFonts w:ascii="Arial" w:hAnsi="Arial" w:cs="Arial"/>
        </w:rPr>
        <w:t>5</w:t>
      </w:r>
      <w:r w:rsidR="00E34750">
        <w:rPr>
          <w:rFonts w:ascii="Arial" w:hAnsi="Arial" w:cs="Arial"/>
        </w:rPr>
        <w:t>. godinu u iznosu od 3</w:t>
      </w:r>
      <w:r w:rsidR="00341CFC">
        <w:rPr>
          <w:rFonts w:ascii="Arial" w:hAnsi="Arial" w:cs="Arial"/>
        </w:rPr>
        <w:t>90.044,00</w:t>
      </w:r>
      <w:r w:rsidR="00E34750">
        <w:rPr>
          <w:rFonts w:ascii="Arial" w:hAnsi="Arial" w:cs="Arial"/>
        </w:rPr>
        <w:t xml:space="preserve"> eura koja </w:t>
      </w:r>
      <w:r w:rsidR="0038712C">
        <w:rPr>
          <w:rFonts w:ascii="Arial" w:hAnsi="Arial" w:cs="Arial"/>
        </w:rPr>
        <w:t xml:space="preserve">je </w:t>
      </w:r>
      <w:r w:rsidR="00E34750">
        <w:rPr>
          <w:rFonts w:ascii="Arial" w:hAnsi="Arial" w:cs="Arial"/>
        </w:rPr>
        <w:t xml:space="preserve"> uvrštena u 1. izmjene Financijskog plana.</w:t>
      </w:r>
    </w:p>
    <w:p w14:paraId="4452980C" w14:textId="48B0E230" w:rsidR="00736221" w:rsidRDefault="00736221" w:rsidP="007362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Početkom godine isplaćena je jedna otpremnina radi odlasku u mirovinu jednog djelatnika čiji je iznos planiran iz sredstava iznad minimalnog standarda odnosno osnivača.</w:t>
      </w:r>
    </w:p>
    <w:p w14:paraId="3ADDAAB8" w14:textId="2655B895" w:rsidR="008D585E" w:rsidRDefault="00736221" w:rsidP="007362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8712C">
        <w:rPr>
          <w:rFonts w:ascii="Arial" w:hAnsi="Arial" w:cs="Arial"/>
        </w:rPr>
        <w:t>9</w:t>
      </w:r>
      <w:r>
        <w:rPr>
          <w:rFonts w:ascii="Arial" w:hAnsi="Arial" w:cs="Arial"/>
        </w:rPr>
        <w:t>.011,18</w:t>
      </w:r>
      <w:r w:rsidR="008D585E" w:rsidRPr="00EB7E76">
        <w:rPr>
          <w:rFonts w:ascii="Arial" w:hAnsi="Arial" w:cs="Arial"/>
        </w:rPr>
        <w:t xml:space="preserve"> eura planirali smo iz  sredstava</w:t>
      </w:r>
      <w:r w:rsidR="00EB7E76" w:rsidRPr="00EB7E76">
        <w:rPr>
          <w:rFonts w:ascii="Arial" w:hAnsi="Arial" w:cs="Arial"/>
        </w:rPr>
        <w:t xml:space="preserve"> Područne vatrogasne zajednice Buzet za plaće</w:t>
      </w:r>
      <w:r w:rsidR="00AF5470">
        <w:rPr>
          <w:rFonts w:ascii="Arial" w:hAnsi="Arial" w:cs="Arial"/>
        </w:rPr>
        <w:t xml:space="preserve"> i materijalni trošak</w:t>
      </w:r>
      <w:r w:rsidR="0038712C">
        <w:rPr>
          <w:rFonts w:ascii="Arial" w:hAnsi="Arial" w:cs="Arial"/>
        </w:rPr>
        <w:t xml:space="preserve"> i Vatrogasne zajednice Istarske županije za sezonske vatrogasce,</w:t>
      </w:r>
      <w:r w:rsidR="00AF5470">
        <w:rPr>
          <w:rFonts w:ascii="Arial" w:hAnsi="Arial" w:cs="Arial"/>
        </w:rPr>
        <w:t xml:space="preserve"> izv</w:t>
      </w:r>
      <w:r w:rsidR="0035672B">
        <w:rPr>
          <w:rFonts w:ascii="Arial" w:hAnsi="Arial" w:cs="Arial"/>
        </w:rPr>
        <w:t>r</w:t>
      </w:r>
      <w:r w:rsidR="00AF5470">
        <w:rPr>
          <w:rFonts w:ascii="Arial" w:hAnsi="Arial" w:cs="Arial"/>
        </w:rPr>
        <w:t xml:space="preserve">šenje plana bilo je </w:t>
      </w:r>
      <w:r w:rsidR="0038712C">
        <w:rPr>
          <w:rFonts w:ascii="Arial" w:hAnsi="Arial" w:cs="Arial"/>
        </w:rPr>
        <w:t>76,95</w:t>
      </w:r>
      <w:r w:rsidR="00AF5470">
        <w:rPr>
          <w:rFonts w:ascii="Arial" w:hAnsi="Arial" w:cs="Arial"/>
        </w:rPr>
        <w:t>% .</w:t>
      </w:r>
    </w:p>
    <w:p w14:paraId="321716BF" w14:textId="0133A1F9" w:rsidR="00F42625" w:rsidRPr="00EB7E76" w:rsidRDefault="00F42625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 ovog  ostvarenja Financijskog plana Javne vatrogasne postrojbe Buzet za</w:t>
      </w:r>
      <w:r w:rsidR="00AF54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</w:t>
      </w:r>
      <w:r w:rsidR="00736221">
        <w:rPr>
          <w:rFonts w:ascii="Arial" w:hAnsi="Arial" w:cs="Arial"/>
        </w:rPr>
        <w:t>5</w:t>
      </w:r>
      <w:r>
        <w:rPr>
          <w:rFonts w:ascii="Arial" w:hAnsi="Arial" w:cs="Arial"/>
        </w:rPr>
        <w:t>. godin</w:t>
      </w:r>
      <w:r w:rsidR="00AF547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vidljivo je da se najviše sredstava izdvaja za rashode za zaposlene.</w:t>
      </w:r>
    </w:p>
    <w:p w14:paraId="76B6C346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23A25A15" w14:textId="77777777" w:rsidR="00937B65" w:rsidRDefault="008D585E" w:rsidP="00937B65">
      <w:pPr>
        <w:jc w:val="both"/>
        <w:rPr>
          <w:rFonts w:ascii="Arial" w:hAnsi="Arial" w:cs="Arial"/>
          <w:szCs w:val="20"/>
        </w:rPr>
      </w:pPr>
      <w:r w:rsidRPr="00500A50">
        <w:rPr>
          <w:rFonts w:ascii="Arial" w:hAnsi="Arial" w:cs="Arial"/>
          <w:b/>
          <w:bCs/>
        </w:rPr>
        <w:t>312 Ostali rashodi za zaposlene</w:t>
      </w:r>
      <w:r w:rsidRPr="00500A50">
        <w:rPr>
          <w:rFonts w:ascii="Arial" w:hAnsi="Arial" w:cs="Arial"/>
        </w:rPr>
        <w:t xml:space="preserve"> </w:t>
      </w:r>
      <w:r w:rsidR="00937B65">
        <w:rPr>
          <w:rFonts w:ascii="Arial" w:hAnsi="Arial" w:cs="Arial"/>
        </w:rPr>
        <w:t xml:space="preserve">- </w:t>
      </w:r>
      <w:r w:rsidR="00937B65" w:rsidRPr="00937B65">
        <w:rPr>
          <w:rFonts w:ascii="Arial" w:hAnsi="Arial" w:cs="Arial"/>
          <w:szCs w:val="20"/>
        </w:rPr>
        <w:t xml:space="preserve"> čine jubilarne nagrade, božićnica, dar djeci, otpremnina i dr.</w:t>
      </w:r>
    </w:p>
    <w:p w14:paraId="507BE952" w14:textId="35AFC0C8" w:rsidR="00937B65" w:rsidRPr="00937B65" w:rsidRDefault="00937B65" w:rsidP="00937B65">
      <w:pPr>
        <w:jc w:val="both"/>
        <w:rPr>
          <w:rFonts w:ascii="Arial" w:hAnsi="Arial" w:cs="Arial"/>
          <w:szCs w:val="20"/>
        </w:rPr>
      </w:pPr>
      <w:r w:rsidRPr="00937B65">
        <w:rPr>
          <w:rFonts w:ascii="Arial" w:hAnsi="Arial" w:cs="Arial"/>
          <w:szCs w:val="20"/>
        </w:rPr>
        <w:t xml:space="preserve"> Temeljem  Zakona o vatrogastvu isplaćen</w:t>
      </w:r>
      <w:r>
        <w:rPr>
          <w:rFonts w:ascii="Arial" w:hAnsi="Arial" w:cs="Arial"/>
          <w:szCs w:val="20"/>
        </w:rPr>
        <w:t>a je</w:t>
      </w:r>
      <w:r w:rsidRPr="00937B65">
        <w:rPr>
          <w:rFonts w:ascii="Arial" w:hAnsi="Arial" w:cs="Arial"/>
          <w:szCs w:val="20"/>
        </w:rPr>
        <w:t xml:space="preserve"> otpremnin</w:t>
      </w:r>
      <w:r>
        <w:rPr>
          <w:rFonts w:ascii="Arial" w:hAnsi="Arial" w:cs="Arial"/>
          <w:szCs w:val="20"/>
        </w:rPr>
        <w:t>a</w:t>
      </w:r>
      <w:r w:rsidRPr="00937B65">
        <w:rPr>
          <w:rFonts w:ascii="Arial" w:hAnsi="Arial" w:cs="Arial"/>
          <w:szCs w:val="20"/>
        </w:rPr>
        <w:t xml:space="preserve"> </w:t>
      </w:r>
      <w:r w:rsidR="00A16852">
        <w:rPr>
          <w:rFonts w:ascii="Arial" w:hAnsi="Arial" w:cs="Arial"/>
          <w:szCs w:val="20"/>
        </w:rPr>
        <w:t>radi odlaska u mirovinu jednog vatrogasca.</w:t>
      </w:r>
      <w:r w:rsidRPr="00937B65">
        <w:rPr>
          <w:rFonts w:ascii="Arial" w:hAnsi="Arial" w:cs="Arial"/>
          <w:szCs w:val="20"/>
        </w:rPr>
        <w:t> </w:t>
      </w:r>
    </w:p>
    <w:p w14:paraId="0C534366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0FDE2BA8" w14:textId="28889C85" w:rsidR="00500A50" w:rsidRPr="002C21FB" w:rsidRDefault="008D585E" w:rsidP="00717503">
      <w:pPr>
        <w:ind w:firstLine="708"/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313 Doprinosi na plaće</w:t>
      </w:r>
      <w:r w:rsidRPr="002C21FB">
        <w:rPr>
          <w:rFonts w:ascii="Arial" w:hAnsi="Arial" w:cs="Arial"/>
        </w:rPr>
        <w:t xml:space="preserve"> – zdravstveno osiguranje</w:t>
      </w:r>
      <w:r w:rsidR="00500A50" w:rsidRPr="002C21FB">
        <w:rPr>
          <w:rFonts w:ascii="Arial" w:hAnsi="Arial" w:cs="Arial"/>
        </w:rPr>
        <w:t xml:space="preserve"> i doprinos za </w:t>
      </w:r>
      <w:proofErr w:type="spellStart"/>
      <w:r w:rsidR="00500A50" w:rsidRPr="002C21FB">
        <w:rPr>
          <w:rFonts w:ascii="Arial" w:hAnsi="Arial" w:cs="Arial"/>
        </w:rPr>
        <w:t>benificirani</w:t>
      </w:r>
      <w:proofErr w:type="spellEnd"/>
      <w:r w:rsidR="00500A50" w:rsidRPr="002C21FB">
        <w:rPr>
          <w:rFonts w:ascii="Arial" w:hAnsi="Arial" w:cs="Arial"/>
        </w:rPr>
        <w:t xml:space="preserve"> </w:t>
      </w:r>
      <w:r w:rsidR="00A92097">
        <w:rPr>
          <w:rFonts w:ascii="Arial" w:hAnsi="Arial" w:cs="Arial"/>
        </w:rPr>
        <w:t xml:space="preserve">radni </w:t>
      </w:r>
      <w:r w:rsidR="00500A50" w:rsidRPr="002C21FB">
        <w:rPr>
          <w:rFonts w:ascii="Arial" w:hAnsi="Arial" w:cs="Arial"/>
        </w:rPr>
        <w:t>staž</w:t>
      </w:r>
      <w:r w:rsidRPr="002C21FB">
        <w:rPr>
          <w:rFonts w:ascii="Arial" w:hAnsi="Arial" w:cs="Arial"/>
        </w:rPr>
        <w:t>.</w:t>
      </w:r>
    </w:p>
    <w:p w14:paraId="4E2D1FD9" w14:textId="5FECCEDA" w:rsidR="00717503" w:rsidRDefault="00500A50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 odnosu na plan potrošeno je </w:t>
      </w:r>
      <w:r w:rsidR="0038712C">
        <w:rPr>
          <w:rFonts w:ascii="Arial" w:hAnsi="Arial" w:cs="Arial"/>
        </w:rPr>
        <w:t>100</w:t>
      </w:r>
      <w:r w:rsidR="00736221">
        <w:rPr>
          <w:rFonts w:ascii="Arial" w:hAnsi="Arial" w:cs="Arial"/>
        </w:rPr>
        <w:t>,00</w:t>
      </w:r>
      <w:r w:rsidRPr="002C21FB">
        <w:rPr>
          <w:rFonts w:ascii="Arial" w:hAnsi="Arial" w:cs="Arial"/>
        </w:rPr>
        <w:t>%.</w:t>
      </w:r>
    </w:p>
    <w:p w14:paraId="2B7697C0" w14:textId="78A4CE70" w:rsidR="008D585E" w:rsidRPr="002C21FB" w:rsidRDefault="00500A50" w:rsidP="008D585E">
      <w:pPr>
        <w:jc w:val="both"/>
        <w:rPr>
          <w:rFonts w:ascii="Arial" w:hAnsi="Arial" w:cs="Arial"/>
        </w:rPr>
      </w:pPr>
      <w:proofErr w:type="spellStart"/>
      <w:r w:rsidRPr="002C21FB">
        <w:rPr>
          <w:rFonts w:ascii="Arial" w:hAnsi="Arial" w:cs="Arial"/>
        </w:rPr>
        <w:t>Benificirani</w:t>
      </w:r>
      <w:proofErr w:type="spellEnd"/>
      <w:r w:rsidRPr="002C21FB">
        <w:rPr>
          <w:rFonts w:ascii="Arial" w:hAnsi="Arial" w:cs="Arial"/>
        </w:rPr>
        <w:t xml:space="preserve"> </w:t>
      </w:r>
      <w:r w:rsidR="00A92097">
        <w:rPr>
          <w:rFonts w:ascii="Arial" w:hAnsi="Arial" w:cs="Arial"/>
        </w:rPr>
        <w:t xml:space="preserve"> radni </w:t>
      </w:r>
      <w:r w:rsidRPr="002C21FB">
        <w:rPr>
          <w:rFonts w:ascii="Arial" w:hAnsi="Arial" w:cs="Arial"/>
        </w:rPr>
        <w:t>staž plaća se svim vatrogascima.</w:t>
      </w:r>
    </w:p>
    <w:p w14:paraId="40D1DFD3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30842258" w14:textId="08E09851" w:rsidR="00717503" w:rsidRDefault="008D585E" w:rsidP="00717503">
      <w:pPr>
        <w:ind w:firstLine="708"/>
        <w:jc w:val="both"/>
        <w:rPr>
          <w:rFonts w:ascii="Arial" w:hAnsi="Arial" w:cs="Arial"/>
        </w:rPr>
      </w:pPr>
      <w:r w:rsidRPr="00500A50">
        <w:rPr>
          <w:rFonts w:ascii="Arial" w:hAnsi="Arial" w:cs="Arial"/>
          <w:b/>
          <w:bCs/>
        </w:rPr>
        <w:t>321 Naknade troškova zaposlenih</w:t>
      </w:r>
      <w:r w:rsidRPr="00500A50">
        <w:rPr>
          <w:rFonts w:ascii="Arial" w:hAnsi="Arial" w:cs="Arial"/>
        </w:rPr>
        <w:t xml:space="preserve"> u najvećem iznosu odnose se na naknade za prijevoz zaposlenika te je ostvareno </w:t>
      </w:r>
      <w:r w:rsidR="0038712C">
        <w:rPr>
          <w:rFonts w:ascii="Arial" w:hAnsi="Arial" w:cs="Arial"/>
        </w:rPr>
        <w:t>100</w:t>
      </w:r>
      <w:r w:rsidR="00736221">
        <w:rPr>
          <w:rFonts w:ascii="Arial" w:hAnsi="Arial" w:cs="Arial"/>
        </w:rPr>
        <w:t>,00</w:t>
      </w:r>
      <w:r w:rsidRPr="00500A50">
        <w:rPr>
          <w:rFonts w:ascii="Arial" w:hAnsi="Arial" w:cs="Arial"/>
        </w:rPr>
        <w:t xml:space="preserve"> %. </w:t>
      </w:r>
    </w:p>
    <w:p w14:paraId="7FA86E4C" w14:textId="578BFD60" w:rsidR="008D585E" w:rsidRDefault="008D585E" w:rsidP="00717503">
      <w:pPr>
        <w:jc w:val="both"/>
        <w:rPr>
          <w:rFonts w:ascii="Arial" w:hAnsi="Arial" w:cs="Arial"/>
        </w:rPr>
      </w:pPr>
      <w:r w:rsidRPr="00500A50">
        <w:rPr>
          <w:rFonts w:ascii="Arial" w:hAnsi="Arial" w:cs="Arial"/>
        </w:rPr>
        <w:t>Ostatak se odnosi na stručna usavršavanja, stručne ispite</w:t>
      </w:r>
      <w:r w:rsidR="00500A50" w:rsidRPr="00500A50">
        <w:rPr>
          <w:rFonts w:ascii="Arial" w:hAnsi="Arial" w:cs="Arial"/>
        </w:rPr>
        <w:t xml:space="preserve"> i tečajeve.</w:t>
      </w:r>
    </w:p>
    <w:p w14:paraId="33BE447C" w14:textId="77777777" w:rsidR="007D74E1" w:rsidRDefault="007D74E1" w:rsidP="00717503">
      <w:pPr>
        <w:jc w:val="both"/>
        <w:rPr>
          <w:rFonts w:ascii="Arial" w:hAnsi="Arial" w:cs="Arial"/>
        </w:rPr>
      </w:pPr>
    </w:p>
    <w:p w14:paraId="0CFE0672" w14:textId="77777777" w:rsidR="00736221" w:rsidRDefault="00736221" w:rsidP="00717503">
      <w:pPr>
        <w:jc w:val="both"/>
        <w:rPr>
          <w:rFonts w:ascii="Arial" w:hAnsi="Arial" w:cs="Arial"/>
        </w:rPr>
      </w:pPr>
    </w:p>
    <w:p w14:paraId="57ED7730" w14:textId="77777777" w:rsidR="00AF326E" w:rsidRDefault="00AF326E" w:rsidP="00717503">
      <w:pPr>
        <w:jc w:val="both"/>
        <w:rPr>
          <w:rFonts w:ascii="Arial" w:hAnsi="Arial" w:cs="Arial"/>
        </w:rPr>
      </w:pPr>
    </w:p>
    <w:p w14:paraId="1079AA82" w14:textId="77777777" w:rsidR="00AF326E" w:rsidRDefault="00AF326E" w:rsidP="00717503">
      <w:pPr>
        <w:jc w:val="both"/>
        <w:rPr>
          <w:rFonts w:ascii="Arial" w:hAnsi="Arial" w:cs="Arial"/>
        </w:rPr>
      </w:pPr>
    </w:p>
    <w:p w14:paraId="562D8A1F" w14:textId="77777777" w:rsidR="00AF326E" w:rsidRDefault="00AF326E" w:rsidP="00717503">
      <w:pPr>
        <w:jc w:val="both"/>
        <w:rPr>
          <w:rFonts w:ascii="Arial" w:hAnsi="Arial" w:cs="Arial"/>
        </w:rPr>
      </w:pPr>
    </w:p>
    <w:p w14:paraId="476D99AE" w14:textId="77777777" w:rsidR="00AF326E" w:rsidRDefault="00AF326E" w:rsidP="00717503">
      <w:pPr>
        <w:jc w:val="both"/>
        <w:rPr>
          <w:rFonts w:ascii="Arial" w:hAnsi="Arial" w:cs="Arial"/>
        </w:rPr>
      </w:pPr>
    </w:p>
    <w:p w14:paraId="63213863" w14:textId="77777777" w:rsidR="00AF326E" w:rsidRDefault="00AF326E" w:rsidP="00717503">
      <w:pPr>
        <w:jc w:val="both"/>
        <w:rPr>
          <w:rFonts w:ascii="Arial" w:hAnsi="Arial" w:cs="Arial"/>
        </w:rPr>
      </w:pPr>
    </w:p>
    <w:p w14:paraId="36F6F519" w14:textId="77777777" w:rsidR="00AF326E" w:rsidRDefault="00AF326E" w:rsidP="00717503">
      <w:pPr>
        <w:jc w:val="both"/>
        <w:rPr>
          <w:rFonts w:ascii="Arial" w:hAnsi="Arial" w:cs="Arial"/>
        </w:rPr>
      </w:pPr>
    </w:p>
    <w:p w14:paraId="2D0A5ED9" w14:textId="77777777" w:rsidR="00AF326E" w:rsidRDefault="00AF326E" w:rsidP="00717503">
      <w:pPr>
        <w:jc w:val="both"/>
        <w:rPr>
          <w:rFonts w:ascii="Arial" w:hAnsi="Arial" w:cs="Arial"/>
        </w:rPr>
      </w:pPr>
    </w:p>
    <w:p w14:paraId="597F15ED" w14:textId="77777777" w:rsidR="00AF326E" w:rsidRDefault="00AF326E" w:rsidP="00717503">
      <w:pPr>
        <w:jc w:val="both"/>
        <w:rPr>
          <w:rFonts w:ascii="Arial" w:hAnsi="Arial" w:cs="Arial"/>
        </w:rPr>
      </w:pPr>
    </w:p>
    <w:p w14:paraId="6FCA1877" w14:textId="77777777" w:rsidR="00AF326E" w:rsidRDefault="00AF326E" w:rsidP="00717503">
      <w:pPr>
        <w:jc w:val="both"/>
        <w:rPr>
          <w:rFonts w:ascii="Arial" w:hAnsi="Arial" w:cs="Arial"/>
        </w:rPr>
      </w:pPr>
    </w:p>
    <w:p w14:paraId="6A98A9F7" w14:textId="77777777" w:rsidR="00AF326E" w:rsidRDefault="00AF326E" w:rsidP="00717503">
      <w:pPr>
        <w:jc w:val="both"/>
        <w:rPr>
          <w:rFonts w:ascii="Arial" w:hAnsi="Arial" w:cs="Arial"/>
        </w:rPr>
      </w:pPr>
    </w:p>
    <w:p w14:paraId="6416A586" w14:textId="77777777" w:rsidR="00AF326E" w:rsidRDefault="00AF326E" w:rsidP="00717503">
      <w:pPr>
        <w:jc w:val="both"/>
        <w:rPr>
          <w:rFonts w:ascii="Arial" w:hAnsi="Arial" w:cs="Arial"/>
        </w:rPr>
      </w:pPr>
    </w:p>
    <w:p w14:paraId="448D65C3" w14:textId="77777777" w:rsidR="00AF326E" w:rsidRDefault="00AF326E" w:rsidP="00717503">
      <w:pPr>
        <w:jc w:val="both"/>
        <w:rPr>
          <w:rFonts w:ascii="Arial" w:hAnsi="Arial" w:cs="Arial"/>
        </w:rPr>
      </w:pPr>
    </w:p>
    <w:p w14:paraId="17580899" w14:textId="77777777" w:rsidR="00736221" w:rsidRDefault="00736221" w:rsidP="00717503">
      <w:pPr>
        <w:jc w:val="both"/>
        <w:rPr>
          <w:rFonts w:ascii="Arial" w:hAnsi="Arial" w:cs="Arial"/>
        </w:rPr>
      </w:pPr>
    </w:p>
    <w:p w14:paraId="0EEF07F4" w14:textId="77777777" w:rsidR="00736221" w:rsidRDefault="00736221" w:rsidP="00717503">
      <w:pPr>
        <w:jc w:val="both"/>
        <w:rPr>
          <w:rFonts w:ascii="Arial" w:hAnsi="Arial" w:cs="Arial"/>
        </w:rPr>
      </w:pPr>
    </w:p>
    <w:p w14:paraId="72DEA325" w14:textId="401B102B" w:rsidR="007D74E1" w:rsidRPr="007D74E1" w:rsidRDefault="007D74E1" w:rsidP="00717503">
      <w:pPr>
        <w:jc w:val="both"/>
        <w:rPr>
          <w:rFonts w:ascii="Arial" w:hAnsi="Arial" w:cs="Arial"/>
          <w:b/>
          <w:bCs/>
          <w:u w:val="single"/>
        </w:rPr>
      </w:pPr>
      <w:r w:rsidRPr="007D74E1">
        <w:rPr>
          <w:rFonts w:ascii="Arial" w:hAnsi="Arial" w:cs="Arial"/>
          <w:b/>
          <w:bCs/>
          <w:u w:val="single"/>
        </w:rPr>
        <w:t>MATERIJALNI RASHODI</w:t>
      </w:r>
    </w:p>
    <w:p w14:paraId="4C90964A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4F71ED63" w14:textId="3FAC8AFD" w:rsidR="00717503" w:rsidRPr="001945AE" w:rsidRDefault="008D585E" w:rsidP="00717503">
      <w:pPr>
        <w:ind w:firstLine="708"/>
        <w:jc w:val="both"/>
        <w:rPr>
          <w:rFonts w:ascii="Arial" w:hAnsi="Arial" w:cs="Arial"/>
        </w:rPr>
      </w:pPr>
      <w:r w:rsidRPr="001945AE">
        <w:rPr>
          <w:rFonts w:ascii="Arial" w:hAnsi="Arial" w:cs="Arial"/>
          <w:b/>
          <w:bCs/>
        </w:rPr>
        <w:t>322 Rashodi za materijal i energiju</w:t>
      </w:r>
      <w:r w:rsidRPr="001945AE">
        <w:rPr>
          <w:rFonts w:ascii="Arial" w:hAnsi="Arial" w:cs="Arial"/>
        </w:rPr>
        <w:t xml:space="preserve"> </w:t>
      </w:r>
    </w:p>
    <w:p w14:paraId="7B9C59BC" w14:textId="28E64885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382B7284" w14:textId="0DB6614E" w:rsidR="008D585E" w:rsidRPr="009D4AD7" w:rsidRDefault="008D585E" w:rsidP="008D585E">
      <w:pPr>
        <w:jc w:val="both"/>
        <w:rPr>
          <w:rFonts w:ascii="Arial" w:hAnsi="Arial" w:cs="Arial"/>
        </w:rPr>
      </w:pPr>
      <w:r w:rsidRPr="009D4AD7">
        <w:rPr>
          <w:rFonts w:ascii="Arial" w:hAnsi="Arial" w:cs="Arial"/>
        </w:rPr>
        <w:t>Materijal i sirovine –</w:t>
      </w:r>
      <w:r w:rsidR="009D4AD7" w:rsidRPr="009D4AD7">
        <w:rPr>
          <w:rFonts w:ascii="Arial" w:hAnsi="Arial" w:cs="Arial"/>
        </w:rPr>
        <w:t xml:space="preserve"> za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nabavu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n</w:t>
      </w:r>
      <w:r w:rsidRPr="009D4AD7">
        <w:rPr>
          <w:rFonts w:ascii="Arial" w:hAnsi="Arial" w:cs="Arial"/>
        </w:rPr>
        <w:t>amirnic</w:t>
      </w:r>
      <w:r w:rsidR="009D4AD7" w:rsidRPr="009D4AD7">
        <w:rPr>
          <w:rFonts w:ascii="Arial" w:hAnsi="Arial" w:cs="Arial"/>
        </w:rPr>
        <w:t>a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potrošeno</w:t>
      </w:r>
      <w:r w:rsidRPr="009D4AD7">
        <w:rPr>
          <w:rFonts w:ascii="Arial" w:hAnsi="Arial" w:cs="Arial"/>
        </w:rPr>
        <w:t xml:space="preserve"> </w:t>
      </w:r>
      <w:r w:rsidR="00801CE0">
        <w:rPr>
          <w:rFonts w:ascii="Arial" w:hAnsi="Arial" w:cs="Arial"/>
        </w:rPr>
        <w:t>1</w:t>
      </w:r>
      <w:r w:rsidR="0038712C">
        <w:rPr>
          <w:rFonts w:ascii="Arial" w:hAnsi="Arial" w:cs="Arial"/>
        </w:rPr>
        <w:t>00</w:t>
      </w:r>
      <w:r w:rsidR="00801CE0">
        <w:rPr>
          <w:rFonts w:ascii="Arial" w:hAnsi="Arial" w:cs="Arial"/>
        </w:rPr>
        <w:t>,00</w:t>
      </w:r>
      <w:r w:rsidRPr="009D4AD7">
        <w:rPr>
          <w:rFonts w:ascii="Arial" w:hAnsi="Arial" w:cs="Arial"/>
        </w:rPr>
        <w:t xml:space="preserve"> % . </w:t>
      </w:r>
      <w:r w:rsidR="009D4AD7" w:rsidRPr="009D4AD7">
        <w:rPr>
          <w:rFonts w:ascii="Arial" w:hAnsi="Arial" w:cs="Arial"/>
        </w:rPr>
        <w:t>u odnosu na plan.</w:t>
      </w:r>
    </w:p>
    <w:p w14:paraId="07A74FE8" w14:textId="77777777" w:rsidR="009D4AD7" w:rsidRPr="002A0DF0" w:rsidRDefault="009D4AD7" w:rsidP="008D585E">
      <w:pPr>
        <w:jc w:val="both"/>
        <w:rPr>
          <w:rFonts w:ascii="Arial" w:hAnsi="Arial" w:cs="Arial"/>
          <w:color w:val="FF0000"/>
        </w:rPr>
      </w:pPr>
    </w:p>
    <w:p w14:paraId="75D4F71C" w14:textId="5813D882" w:rsidR="008D585E" w:rsidRPr="00BF3F22" w:rsidRDefault="008D585E" w:rsidP="008D585E">
      <w:pPr>
        <w:jc w:val="both"/>
        <w:rPr>
          <w:rFonts w:ascii="Arial" w:hAnsi="Arial" w:cs="Arial"/>
        </w:rPr>
      </w:pPr>
      <w:r w:rsidRPr="00BF3F22">
        <w:rPr>
          <w:rFonts w:ascii="Arial" w:hAnsi="Arial" w:cs="Arial"/>
        </w:rPr>
        <w:t>Energija -</w:t>
      </w:r>
      <w:r w:rsidR="00BF3F22" w:rsidRPr="00BF3F22">
        <w:rPr>
          <w:rFonts w:ascii="Arial" w:hAnsi="Arial" w:cs="Arial"/>
        </w:rPr>
        <w:t>p</w:t>
      </w:r>
      <w:r w:rsidRPr="00BF3F22">
        <w:rPr>
          <w:rFonts w:ascii="Arial" w:hAnsi="Arial" w:cs="Arial"/>
        </w:rPr>
        <w:t>otrošnja električne energije</w:t>
      </w:r>
      <w:r w:rsidR="00C467BA">
        <w:rPr>
          <w:rFonts w:ascii="Arial" w:hAnsi="Arial" w:cs="Arial"/>
        </w:rPr>
        <w:t xml:space="preserve"> i goriva </w:t>
      </w:r>
      <w:r w:rsidR="00BF3F22" w:rsidRPr="00BF3F22">
        <w:rPr>
          <w:rFonts w:ascii="Arial" w:hAnsi="Arial" w:cs="Arial"/>
        </w:rPr>
        <w:t>u</w:t>
      </w:r>
      <w:r w:rsidR="00C467BA">
        <w:rPr>
          <w:rFonts w:ascii="Arial" w:hAnsi="Arial" w:cs="Arial"/>
        </w:rPr>
        <w:t xml:space="preserve"> </w:t>
      </w:r>
      <w:r w:rsidR="00BF3F22" w:rsidRPr="00BF3F22">
        <w:rPr>
          <w:rFonts w:ascii="Arial" w:hAnsi="Arial" w:cs="Arial"/>
        </w:rPr>
        <w:t xml:space="preserve">odnosu na plan </w:t>
      </w:r>
      <w:r w:rsidR="00C467BA">
        <w:rPr>
          <w:rFonts w:ascii="Arial" w:hAnsi="Arial" w:cs="Arial"/>
        </w:rPr>
        <w:t>potrošeno je 104,03</w:t>
      </w:r>
      <w:r w:rsidR="00BF3F22" w:rsidRPr="00BF3F22">
        <w:rPr>
          <w:rFonts w:ascii="Arial" w:hAnsi="Arial" w:cs="Arial"/>
        </w:rPr>
        <w:t xml:space="preserve"> % .</w:t>
      </w:r>
    </w:p>
    <w:p w14:paraId="20A54FEC" w14:textId="77777777" w:rsidR="00BF3F22" w:rsidRPr="002A0DF0" w:rsidRDefault="00BF3F22" w:rsidP="008D585E">
      <w:pPr>
        <w:jc w:val="both"/>
        <w:rPr>
          <w:rFonts w:ascii="Arial" w:hAnsi="Arial" w:cs="Arial"/>
          <w:color w:val="FF0000"/>
        </w:rPr>
      </w:pPr>
    </w:p>
    <w:p w14:paraId="0618E01E" w14:textId="4213D68B" w:rsidR="008D585E" w:rsidRDefault="008D585E" w:rsidP="008D585E">
      <w:pPr>
        <w:jc w:val="both"/>
        <w:rPr>
          <w:rFonts w:ascii="Arial" w:hAnsi="Arial" w:cs="Arial"/>
        </w:rPr>
      </w:pPr>
      <w:r w:rsidRPr="00E4316F">
        <w:rPr>
          <w:rFonts w:ascii="Arial" w:hAnsi="Arial" w:cs="Arial"/>
        </w:rPr>
        <w:t xml:space="preserve">Materijal i dijelovi za tekuće i investicijsko održavanje – </w:t>
      </w:r>
      <w:r w:rsidR="00E4316F" w:rsidRPr="00E4316F">
        <w:rPr>
          <w:rFonts w:ascii="Arial" w:hAnsi="Arial" w:cs="Arial"/>
        </w:rPr>
        <w:t>n</w:t>
      </w:r>
      <w:r w:rsidRPr="00E4316F">
        <w:rPr>
          <w:rFonts w:ascii="Arial" w:hAnsi="Arial" w:cs="Arial"/>
        </w:rPr>
        <w:t>eophodni su popravci svih vrsta</w:t>
      </w:r>
      <w:r w:rsidR="00E4316F" w:rsidRPr="00E4316F">
        <w:rPr>
          <w:rFonts w:ascii="Arial" w:hAnsi="Arial" w:cs="Arial"/>
        </w:rPr>
        <w:t xml:space="preserve"> najviše vozila </w:t>
      </w:r>
      <w:r w:rsidRPr="00E4316F">
        <w:rPr>
          <w:rFonts w:ascii="Arial" w:hAnsi="Arial" w:cs="Arial"/>
        </w:rPr>
        <w:t xml:space="preserve"> </w:t>
      </w:r>
      <w:r w:rsidR="00E4316F" w:rsidRPr="00E4316F">
        <w:rPr>
          <w:rFonts w:ascii="Arial" w:hAnsi="Arial" w:cs="Arial"/>
        </w:rPr>
        <w:t xml:space="preserve"> a također ima i </w:t>
      </w:r>
      <w:r w:rsidRPr="00E4316F">
        <w:rPr>
          <w:rFonts w:ascii="Arial" w:hAnsi="Arial" w:cs="Arial"/>
        </w:rPr>
        <w:t>stolarski</w:t>
      </w:r>
      <w:r w:rsidR="00E4316F" w:rsidRPr="00E4316F">
        <w:rPr>
          <w:rFonts w:ascii="Arial" w:hAnsi="Arial" w:cs="Arial"/>
        </w:rPr>
        <w:t>h</w:t>
      </w:r>
      <w:r w:rsidRPr="00E4316F">
        <w:rPr>
          <w:rFonts w:ascii="Arial" w:hAnsi="Arial" w:cs="Arial"/>
        </w:rPr>
        <w:t>, vodoinstalaterski</w:t>
      </w:r>
      <w:r w:rsidR="00E4316F" w:rsidRPr="00E4316F">
        <w:rPr>
          <w:rFonts w:ascii="Arial" w:hAnsi="Arial" w:cs="Arial"/>
        </w:rPr>
        <w:t>h</w:t>
      </w:r>
      <w:r w:rsidRPr="00E4316F">
        <w:rPr>
          <w:rFonts w:ascii="Arial" w:hAnsi="Arial" w:cs="Arial"/>
        </w:rPr>
        <w:t xml:space="preserve">, elektro </w:t>
      </w:r>
      <w:r w:rsidR="00E4316F" w:rsidRPr="00E4316F">
        <w:rPr>
          <w:rFonts w:ascii="Arial" w:hAnsi="Arial" w:cs="Arial"/>
        </w:rPr>
        <w:t xml:space="preserve"> popravaka te se </w:t>
      </w:r>
      <w:r w:rsidRPr="00E4316F">
        <w:rPr>
          <w:rFonts w:ascii="Arial" w:hAnsi="Arial" w:cs="Arial"/>
        </w:rPr>
        <w:t xml:space="preserve"> redovito obnavlja potreban materijal za održavanj</w:t>
      </w:r>
      <w:r w:rsidR="00EB4AF7">
        <w:rPr>
          <w:rFonts w:ascii="Arial" w:hAnsi="Arial" w:cs="Arial"/>
        </w:rPr>
        <w:t>e</w:t>
      </w:r>
    </w:p>
    <w:p w14:paraId="647A8E9F" w14:textId="77777777" w:rsidR="005B2C13" w:rsidRPr="00E4316F" w:rsidRDefault="005B2C13" w:rsidP="008D585E">
      <w:pPr>
        <w:jc w:val="both"/>
        <w:rPr>
          <w:rFonts w:ascii="Arial" w:hAnsi="Arial" w:cs="Arial"/>
        </w:rPr>
      </w:pPr>
    </w:p>
    <w:p w14:paraId="035A8497" w14:textId="60AD7972" w:rsidR="008D585E" w:rsidRPr="00B116DC" w:rsidRDefault="008D585E" w:rsidP="008D585E">
      <w:pPr>
        <w:jc w:val="both"/>
        <w:rPr>
          <w:rFonts w:ascii="Arial" w:hAnsi="Arial" w:cs="Arial"/>
        </w:rPr>
      </w:pPr>
      <w:r w:rsidRPr="00B116DC">
        <w:rPr>
          <w:rFonts w:ascii="Arial" w:hAnsi="Arial" w:cs="Arial"/>
        </w:rPr>
        <w:t>Sitni inventar</w:t>
      </w:r>
      <w:r w:rsidR="005B2C13" w:rsidRPr="00B116DC">
        <w:rPr>
          <w:rFonts w:ascii="Arial" w:hAnsi="Arial" w:cs="Arial"/>
        </w:rPr>
        <w:t xml:space="preserve"> i auto gume </w:t>
      </w:r>
      <w:r w:rsidRPr="00B116DC">
        <w:rPr>
          <w:rFonts w:ascii="Arial" w:hAnsi="Arial" w:cs="Arial"/>
        </w:rPr>
        <w:t xml:space="preserve"> – </w:t>
      </w:r>
      <w:r w:rsidR="005B2C13" w:rsidRPr="00B116DC">
        <w:rPr>
          <w:rFonts w:ascii="Arial" w:hAnsi="Arial" w:cs="Arial"/>
        </w:rPr>
        <w:t xml:space="preserve">na poziciji </w:t>
      </w:r>
      <w:r w:rsidR="00AF5470">
        <w:rPr>
          <w:rFonts w:ascii="Arial" w:hAnsi="Arial" w:cs="Arial"/>
        </w:rPr>
        <w:t>sitnog inventara</w:t>
      </w:r>
      <w:r w:rsidR="00E615F1">
        <w:rPr>
          <w:rFonts w:ascii="Arial" w:hAnsi="Arial" w:cs="Arial"/>
        </w:rPr>
        <w:t xml:space="preserve">  u ovom razdoblju potrošeno </w:t>
      </w:r>
      <w:r w:rsidR="00C467BA">
        <w:rPr>
          <w:rFonts w:ascii="Arial" w:hAnsi="Arial" w:cs="Arial"/>
        </w:rPr>
        <w:t>je više od plana odnosno 148,65%</w:t>
      </w:r>
      <w:r w:rsidR="00E615F1">
        <w:rPr>
          <w:rFonts w:ascii="Arial" w:hAnsi="Arial" w:cs="Arial"/>
        </w:rPr>
        <w:t xml:space="preserve"> </w:t>
      </w:r>
    </w:p>
    <w:p w14:paraId="3D4D98EC" w14:textId="77777777" w:rsidR="005B2C13" w:rsidRPr="002A0DF0" w:rsidRDefault="005B2C13" w:rsidP="008D585E">
      <w:pPr>
        <w:jc w:val="both"/>
        <w:rPr>
          <w:rFonts w:ascii="Arial" w:hAnsi="Arial" w:cs="Arial"/>
          <w:color w:val="FF0000"/>
        </w:rPr>
      </w:pPr>
    </w:p>
    <w:p w14:paraId="3B677569" w14:textId="014C2164" w:rsidR="005B2C13" w:rsidRPr="005B2C13" w:rsidRDefault="00C467BA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s</w:t>
      </w:r>
      <w:r w:rsidR="008D585E" w:rsidRPr="005B2C13">
        <w:rPr>
          <w:rFonts w:ascii="Arial" w:hAnsi="Arial" w:cs="Arial"/>
        </w:rPr>
        <w:t>lužben</w:t>
      </w:r>
      <w:r>
        <w:rPr>
          <w:rFonts w:ascii="Arial" w:hAnsi="Arial" w:cs="Arial"/>
        </w:rPr>
        <w:t>u</w:t>
      </w:r>
      <w:r w:rsidR="008D585E" w:rsidRPr="005B2C13">
        <w:rPr>
          <w:rFonts w:ascii="Arial" w:hAnsi="Arial" w:cs="Arial"/>
        </w:rPr>
        <w:t xml:space="preserve"> radn</w:t>
      </w:r>
      <w:r>
        <w:rPr>
          <w:rFonts w:ascii="Arial" w:hAnsi="Arial" w:cs="Arial"/>
        </w:rPr>
        <w:t>u</w:t>
      </w:r>
      <w:r w:rsidR="008D585E" w:rsidRPr="005B2C13">
        <w:rPr>
          <w:rFonts w:ascii="Arial" w:hAnsi="Arial" w:cs="Arial"/>
        </w:rPr>
        <w:t xml:space="preserve"> i zaštitn</w:t>
      </w:r>
      <w:r>
        <w:rPr>
          <w:rFonts w:ascii="Arial" w:hAnsi="Arial" w:cs="Arial"/>
        </w:rPr>
        <w:t>u</w:t>
      </w:r>
      <w:r w:rsidR="008D585E" w:rsidRPr="005B2C13">
        <w:rPr>
          <w:rFonts w:ascii="Arial" w:hAnsi="Arial" w:cs="Arial"/>
        </w:rPr>
        <w:t xml:space="preserve"> odjeć</w:t>
      </w:r>
      <w:r>
        <w:rPr>
          <w:rFonts w:ascii="Arial" w:hAnsi="Arial" w:cs="Arial"/>
        </w:rPr>
        <w:t>u</w:t>
      </w:r>
      <w:r w:rsidR="008D585E" w:rsidRPr="005B2C13">
        <w:rPr>
          <w:rFonts w:ascii="Arial" w:hAnsi="Arial" w:cs="Arial"/>
        </w:rPr>
        <w:t xml:space="preserve"> i obuć</w:t>
      </w:r>
      <w:r>
        <w:rPr>
          <w:rFonts w:ascii="Arial" w:hAnsi="Arial" w:cs="Arial"/>
        </w:rPr>
        <w:t>u</w:t>
      </w:r>
      <w:r w:rsidR="008D585E" w:rsidRPr="005B2C1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potrošeno je 18.219,04.</w:t>
      </w:r>
      <w:r w:rsidR="008D585E" w:rsidRPr="005B2C13">
        <w:rPr>
          <w:rFonts w:ascii="Arial" w:hAnsi="Arial" w:cs="Arial"/>
        </w:rPr>
        <w:t xml:space="preserve"> eura</w:t>
      </w:r>
      <w:r>
        <w:rPr>
          <w:rFonts w:ascii="Arial" w:hAnsi="Arial" w:cs="Arial"/>
        </w:rPr>
        <w:t>.</w:t>
      </w:r>
    </w:p>
    <w:p w14:paraId="47684804" w14:textId="77777777" w:rsidR="00DA09E3" w:rsidRPr="002A0DF0" w:rsidRDefault="00DA09E3" w:rsidP="008D585E">
      <w:pPr>
        <w:jc w:val="both"/>
        <w:rPr>
          <w:rFonts w:ascii="Arial" w:hAnsi="Arial" w:cs="Arial"/>
          <w:color w:val="FF0000"/>
        </w:rPr>
      </w:pPr>
    </w:p>
    <w:p w14:paraId="74269D7D" w14:textId="7E564E8B" w:rsidR="00566781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323 Rashodi za usluge</w:t>
      </w:r>
      <w:r w:rsidRPr="002C21FB">
        <w:rPr>
          <w:rFonts w:ascii="Arial" w:hAnsi="Arial" w:cs="Arial"/>
        </w:rPr>
        <w:t xml:space="preserve"> – telefon – u </w:t>
      </w:r>
      <w:r w:rsidR="00566781" w:rsidRPr="002C21FB">
        <w:rPr>
          <w:rFonts w:ascii="Arial" w:hAnsi="Arial" w:cs="Arial"/>
        </w:rPr>
        <w:t>javnoj vatrogasnoj postrojbi</w:t>
      </w:r>
      <w:r w:rsidRPr="002C21FB">
        <w:rPr>
          <w:rFonts w:ascii="Arial" w:hAnsi="Arial" w:cs="Arial"/>
        </w:rPr>
        <w:t xml:space="preserve"> su </w:t>
      </w:r>
      <w:r w:rsidR="00566781" w:rsidRPr="002C21FB">
        <w:rPr>
          <w:rFonts w:ascii="Arial" w:hAnsi="Arial" w:cs="Arial"/>
        </w:rPr>
        <w:t>6</w:t>
      </w:r>
      <w:r w:rsidRPr="002C21FB">
        <w:rPr>
          <w:rFonts w:ascii="Arial" w:hAnsi="Arial" w:cs="Arial"/>
        </w:rPr>
        <w:t xml:space="preserve"> linij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 xml:space="preserve"> fiksnog telefona (ured </w:t>
      </w:r>
      <w:r w:rsidR="00566781" w:rsidRPr="002C21FB">
        <w:rPr>
          <w:rFonts w:ascii="Arial" w:hAnsi="Arial" w:cs="Arial"/>
        </w:rPr>
        <w:t>zapovjednika</w:t>
      </w:r>
      <w:r w:rsidRPr="002C21FB">
        <w:rPr>
          <w:rFonts w:ascii="Arial" w:hAnsi="Arial" w:cs="Arial"/>
        </w:rPr>
        <w:t>,  računovotkinje</w:t>
      </w:r>
      <w:r w:rsidR="00566781" w:rsidRPr="002C21FB">
        <w:rPr>
          <w:rFonts w:ascii="Arial" w:hAnsi="Arial" w:cs="Arial"/>
        </w:rPr>
        <w:t>, 4 linije u dežurstvu</w:t>
      </w:r>
      <w:r w:rsidRPr="002C21FB">
        <w:rPr>
          <w:rFonts w:ascii="Arial" w:hAnsi="Arial" w:cs="Arial"/>
        </w:rPr>
        <w:t>).</w:t>
      </w:r>
    </w:p>
    <w:p w14:paraId="473AFBE9" w14:textId="77777777" w:rsidR="00566781" w:rsidRPr="002C21FB" w:rsidRDefault="00566781" w:rsidP="008D585E">
      <w:pPr>
        <w:jc w:val="both"/>
        <w:rPr>
          <w:rFonts w:ascii="Arial" w:hAnsi="Arial" w:cs="Arial"/>
        </w:rPr>
      </w:pPr>
    </w:p>
    <w:p w14:paraId="6F93722A" w14:textId="112817FC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Usluge tekućeg i investicijskog održavanja – u </w:t>
      </w:r>
      <w:r w:rsidR="00566781" w:rsidRPr="002C21FB">
        <w:rPr>
          <w:rFonts w:ascii="Arial" w:hAnsi="Arial" w:cs="Arial"/>
        </w:rPr>
        <w:t>postrojbi</w:t>
      </w:r>
      <w:r w:rsidRPr="002C21FB">
        <w:rPr>
          <w:rFonts w:ascii="Arial" w:hAnsi="Arial" w:cs="Arial"/>
        </w:rPr>
        <w:t xml:space="preserve"> su neophodne razne vrste popravaka i održavanja. </w:t>
      </w:r>
      <w:r w:rsidR="00566781" w:rsidRPr="002C21FB">
        <w:rPr>
          <w:rFonts w:ascii="Arial" w:hAnsi="Arial" w:cs="Arial"/>
        </w:rPr>
        <w:t xml:space="preserve">90% </w:t>
      </w:r>
      <w:r w:rsidRPr="002C21FB">
        <w:rPr>
          <w:rFonts w:ascii="Arial" w:hAnsi="Arial" w:cs="Arial"/>
        </w:rPr>
        <w:t xml:space="preserve"> popravk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 xml:space="preserve"> odr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>đ</w:t>
      </w:r>
      <w:r w:rsidR="00566781" w:rsidRPr="002C21FB">
        <w:rPr>
          <w:rFonts w:ascii="Arial" w:hAnsi="Arial" w:cs="Arial"/>
        </w:rPr>
        <w:t>ujemo</w:t>
      </w:r>
      <w:r w:rsidRPr="002C21FB">
        <w:rPr>
          <w:rFonts w:ascii="Arial" w:hAnsi="Arial" w:cs="Arial"/>
        </w:rPr>
        <w:t xml:space="preserve"> sam</w:t>
      </w:r>
      <w:r w:rsidR="00566781" w:rsidRPr="002C21FB">
        <w:rPr>
          <w:rFonts w:ascii="Arial" w:hAnsi="Arial" w:cs="Arial"/>
        </w:rPr>
        <w:t>i</w:t>
      </w:r>
      <w:r w:rsidRPr="002C21FB">
        <w:rPr>
          <w:rFonts w:ascii="Arial" w:hAnsi="Arial" w:cs="Arial"/>
        </w:rPr>
        <w:t xml:space="preserve"> dok smo za </w:t>
      </w:r>
      <w:r w:rsidR="00566781" w:rsidRPr="002C21FB">
        <w:rPr>
          <w:rFonts w:ascii="Arial" w:hAnsi="Arial" w:cs="Arial"/>
        </w:rPr>
        <w:t xml:space="preserve">neke </w:t>
      </w:r>
      <w:r w:rsidRPr="002C21FB">
        <w:rPr>
          <w:rFonts w:ascii="Arial" w:hAnsi="Arial" w:cs="Arial"/>
        </w:rPr>
        <w:t>veće zahvate angažiral</w:t>
      </w:r>
      <w:r w:rsidR="00566781" w:rsidRPr="002C21FB">
        <w:rPr>
          <w:rFonts w:ascii="Arial" w:hAnsi="Arial" w:cs="Arial"/>
        </w:rPr>
        <w:t>i vanjske suradnike</w:t>
      </w:r>
    </w:p>
    <w:p w14:paraId="50F324ED" w14:textId="77777777" w:rsidR="00566781" w:rsidRPr="002C21FB" w:rsidRDefault="00566781" w:rsidP="008D585E">
      <w:pPr>
        <w:jc w:val="both"/>
        <w:rPr>
          <w:rFonts w:ascii="Arial" w:hAnsi="Arial" w:cs="Arial"/>
        </w:rPr>
      </w:pPr>
    </w:p>
    <w:p w14:paraId="068FA32E" w14:textId="5BA1E653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>Komunalne usluge odnose se na opskrbu vodom</w:t>
      </w:r>
      <w:r w:rsidR="00566781" w:rsidRPr="002C21FB">
        <w:rPr>
          <w:rFonts w:ascii="Arial" w:hAnsi="Arial" w:cs="Arial"/>
        </w:rPr>
        <w:t xml:space="preserve"> i</w:t>
      </w:r>
      <w:r w:rsidRPr="002C21FB">
        <w:rPr>
          <w:rFonts w:ascii="Arial" w:hAnsi="Arial" w:cs="Arial"/>
        </w:rPr>
        <w:t xml:space="preserve"> iznošenje i odvoz smeća</w:t>
      </w:r>
      <w:r w:rsidR="00566781" w:rsidRPr="002C21FB">
        <w:rPr>
          <w:rFonts w:ascii="Arial" w:hAnsi="Arial" w:cs="Arial"/>
        </w:rPr>
        <w:t>.</w:t>
      </w:r>
    </w:p>
    <w:p w14:paraId="143A2AD0" w14:textId="77777777" w:rsidR="00566781" w:rsidRPr="002A0DF0" w:rsidRDefault="00566781" w:rsidP="008D585E">
      <w:pPr>
        <w:jc w:val="both"/>
        <w:rPr>
          <w:rFonts w:ascii="Arial" w:hAnsi="Arial" w:cs="Arial"/>
          <w:color w:val="FF0000"/>
        </w:rPr>
      </w:pPr>
    </w:p>
    <w:p w14:paraId="35401B5F" w14:textId="77777777" w:rsidR="00566781" w:rsidRPr="00566781" w:rsidRDefault="00566781" w:rsidP="008D585E">
      <w:pPr>
        <w:jc w:val="both"/>
        <w:rPr>
          <w:rFonts w:ascii="Arial" w:hAnsi="Arial" w:cs="Arial"/>
        </w:rPr>
      </w:pPr>
    </w:p>
    <w:p w14:paraId="3C5EB0C9" w14:textId="77777777" w:rsidR="00566781" w:rsidRPr="00566781" w:rsidRDefault="00566781" w:rsidP="008D585E">
      <w:pPr>
        <w:jc w:val="both"/>
        <w:rPr>
          <w:rFonts w:ascii="Arial" w:hAnsi="Arial" w:cs="Arial"/>
        </w:rPr>
      </w:pPr>
    </w:p>
    <w:p w14:paraId="461D881F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2A8513D6" w14:textId="4A3F199A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329 Ostali nespomenuti rashodi poslovanja</w:t>
      </w:r>
      <w:r w:rsidR="00DA09E3" w:rsidRPr="002C21FB">
        <w:rPr>
          <w:rFonts w:ascii="Arial" w:hAnsi="Arial" w:cs="Arial"/>
          <w:b/>
          <w:bCs/>
        </w:rPr>
        <w:t xml:space="preserve"> - </w:t>
      </w:r>
      <w:r w:rsidRPr="002C21FB">
        <w:rPr>
          <w:rFonts w:ascii="Arial" w:hAnsi="Arial" w:cs="Arial"/>
        </w:rPr>
        <w:t>Reprezentacija – koristimo za reprezentativne usluge.</w:t>
      </w:r>
    </w:p>
    <w:p w14:paraId="54124E71" w14:textId="77777777" w:rsidR="002C21FB" w:rsidRPr="002C21FB" w:rsidRDefault="002C21FB" w:rsidP="008D585E">
      <w:pPr>
        <w:jc w:val="both"/>
        <w:rPr>
          <w:rFonts w:ascii="Arial" w:hAnsi="Arial" w:cs="Arial"/>
        </w:rPr>
      </w:pPr>
    </w:p>
    <w:p w14:paraId="4E56B788" w14:textId="77777777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>Ostali rashodi – svi nespomenuti rashodi u financijskom planu.</w:t>
      </w:r>
    </w:p>
    <w:p w14:paraId="5BE361DB" w14:textId="77777777" w:rsidR="008D585E" w:rsidRPr="002C21FB" w:rsidRDefault="008D585E" w:rsidP="008D585E">
      <w:pPr>
        <w:jc w:val="both"/>
        <w:rPr>
          <w:rFonts w:ascii="Arial" w:hAnsi="Arial" w:cs="Arial"/>
        </w:rPr>
      </w:pPr>
    </w:p>
    <w:p w14:paraId="6FCBBE7C" w14:textId="6F7B2A6A" w:rsidR="008D585E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343 Bankarske usluge</w:t>
      </w:r>
      <w:r w:rsidRPr="002C21FB">
        <w:rPr>
          <w:rFonts w:ascii="Arial" w:hAnsi="Arial" w:cs="Arial"/>
        </w:rPr>
        <w:t xml:space="preserve"> – </w:t>
      </w:r>
      <w:r w:rsidR="00112783" w:rsidRPr="002C21FB">
        <w:rPr>
          <w:rFonts w:ascii="Arial" w:hAnsi="Arial" w:cs="Arial"/>
        </w:rPr>
        <w:t xml:space="preserve">planirane su </w:t>
      </w:r>
      <w:r w:rsidRPr="002C21FB">
        <w:rPr>
          <w:rFonts w:ascii="Arial" w:hAnsi="Arial" w:cs="Arial"/>
        </w:rPr>
        <w:t xml:space="preserve"> za platni promet. </w:t>
      </w:r>
    </w:p>
    <w:p w14:paraId="5549473E" w14:textId="77777777" w:rsidR="00AF326E" w:rsidRDefault="00AF326E" w:rsidP="008D585E">
      <w:pPr>
        <w:jc w:val="both"/>
        <w:rPr>
          <w:rFonts w:ascii="Arial" w:hAnsi="Arial" w:cs="Arial"/>
        </w:rPr>
      </w:pPr>
    </w:p>
    <w:p w14:paraId="7C6A6309" w14:textId="77777777" w:rsidR="00623892" w:rsidRDefault="00623892" w:rsidP="008D585E">
      <w:pPr>
        <w:jc w:val="both"/>
        <w:rPr>
          <w:rFonts w:ascii="Arial" w:hAnsi="Arial" w:cs="Arial"/>
        </w:rPr>
      </w:pPr>
    </w:p>
    <w:p w14:paraId="47ECB7D4" w14:textId="77777777" w:rsidR="00AF326E" w:rsidRDefault="00AF326E" w:rsidP="008D585E">
      <w:pPr>
        <w:jc w:val="both"/>
        <w:rPr>
          <w:rFonts w:ascii="Arial" w:hAnsi="Arial" w:cs="Arial"/>
        </w:rPr>
      </w:pPr>
    </w:p>
    <w:p w14:paraId="7DABAF2F" w14:textId="77777777" w:rsidR="003B0F0E" w:rsidRDefault="003B0F0E" w:rsidP="008D585E">
      <w:pPr>
        <w:jc w:val="both"/>
        <w:rPr>
          <w:rFonts w:ascii="Arial" w:hAnsi="Arial" w:cs="Arial"/>
        </w:rPr>
      </w:pPr>
    </w:p>
    <w:p w14:paraId="6776E1BF" w14:textId="77777777" w:rsidR="003B0F0E" w:rsidRDefault="003B0F0E" w:rsidP="008D585E">
      <w:pPr>
        <w:jc w:val="both"/>
        <w:rPr>
          <w:rFonts w:ascii="Arial" w:hAnsi="Arial" w:cs="Arial"/>
        </w:rPr>
      </w:pPr>
    </w:p>
    <w:p w14:paraId="4B2D88F1" w14:textId="2DEC3DD7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  <w:r w:rsidRPr="007D74E1">
        <w:rPr>
          <w:rFonts w:ascii="Arial" w:hAnsi="Arial" w:cs="Arial"/>
          <w:b/>
          <w:bCs/>
          <w:u w:val="single"/>
        </w:rPr>
        <w:lastRenderedPageBreak/>
        <w:t>PRIJENOS SREDSTAVA IZ PRETHODNE GODINE</w:t>
      </w:r>
    </w:p>
    <w:p w14:paraId="56A37A91" w14:textId="77777777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</w:p>
    <w:p w14:paraId="5884EB8F" w14:textId="78ECD7C1" w:rsidR="007D74E1" w:rsidRP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Višak prihoda iz prethodne godine u iznosu od </w:t>
      </w:r>
      <w:r w:rsidR="00E51D86">
        <w:rPr>
          <w:rFonts w:ascii="Arial" w:hAnsi="Arial" w:cs="Arial"/>
        </w:rPr>
        <w:t>16.378,42</w:t>
      </w:r>
      <w:r>
        <w:rPr>
          <w:rFonts w:ascii="Arial" w:hAnsi="Arial" w:cs="Arial"/>
        </w:rPr>
        <w:t xml:space="preserve"> eura</w:t>
      </w:r>
      <w:r w:rsidR="00ED275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uvršten </w:t>
      </w:r>
      <w:r w:rsidR="003F3174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 prvi rebalans financijskog plana za nabavu </w:t>
      </w:r>
      <w:r w:rsidR="00ED2759">
        <w:rPr>
          <w:rFonts w:ascii="Arial" w:hAnsi="Arial" w:cs="Arial"/>
        </w:rPr>
        <w:t>protupožarne opreme</w:t>
      </w:r>
      <w:r w:rsidR="003F3174">
        <w:rPr>
          <w:rFonts w:ascii="Arial" w:hAnsi="Arial" w:cs="Arial"/>
        </w:rPr>
        <w:t>, sitnog inventara, službene , radne i zaštitne opreme i računalne usluge</w:t>
      </w:r>
      <w:r>
        <w:rPr>
          <w:rFonts w:ascii="Arial" w:hAnsi="Arial" w:cs="Arial"/>
        </w:rPr>
        <w:t>.</w:t>
      </w:r>
    </w:p>
    <w:p w14:paraId="4A7692FF" w14:textId="77777777" w:rsidR="008377C6" w:rsidRPr="002C21FB" w:rsidRDefault="008377C6" w:rsidP="00420E1D">
      <w:pPr>
        <w:jc w:val="both"/>
        <w:rPr>
          <w:rFonts w:ascii="Arial" w:hAnsi="Arial" w:cs="Arial"/>
        </w:rPr>
      </w:pPr>
    </w:p>
    <w:p w14:paraId="7F7C9F12" w14:textId="77777777" w:rsidR="00900AD2" w:rsidRPr="002C21FB" w:rsidRDefault="00900AD2" w:rsidP="00420E1D">
      <w:pPr>
        <w:jc w:val="both"/>
        <w:rPr>
          <w:rFonts w:ascii="Arial" w:hAnsi="Arial" w:cs="Arial"/>
        </w:rPr>
      </w:pPr>
    </w:p>
    <w:p w14:paraId="36A9FF58" w14:textId="5BA9E67A" w:rsidR="00420E1D" w:rsidRPr="002C21FB" w:rsidRDefault="00292C28" w:rsidP="00420E1D">
      <w:pPr>
        <w:pStyle w:val="Naslov2"/>
      </w:pPr>
      <w:bookmarkStart w:id="8" w:name="_Toc115274744"/>
      <w:bookmarkStart w:id="9" w:name="_Toc141888387"/>
      <w:proofErr w:type="spellStart"/>
      <w:r w:rsidRPr="002C21FB">
        <w:t>Prikaz</w:t>
      </w:r>
      <w:proofErr w:type="spellEnd"/>
      <w:r w:rsidRPr="002C21FB">
        <w:t xml:space="preserve"> </w:t>
      </w:r>
      <w:proofErr w:type="spellStart"/>
      <w:r w:rsidRPr="002C21FB">
        <w:t>manjka</w:t>
      </w:r>
      <w:proofErr w:type="spellEnd"/>
      <w:r w:rsidRPr="002C21FB">
        <w:t>/</w:t>
      </w:r>
      <w:proofErr w:type="spellStart"/>
      <w:r w:rsidRPr="002C21FB">
        <w:t>viška</w:t>
      </w:r>
      <w:bookmarkEnd w:id="8"/>
      <w:bookmarkEnd w:id="9"/>
      <w:proofErr w:type="spellEnd"/>
    </w:p>
    <w:p w14:paraId="32B5B307" w14:textId="77777777" w:rsidR="00420E1D" w:rsidRPr="002A0DF0" w:rsidRDefault="00420E1D" w:rsidP="00420E1D">
      <w:pPr>
        <w:jc w:val="both"/>
        <w:rPr>
          <w:rFonts w:ascii="Arial" w:hAnsi="Arial" w:cs="Arial"/>
          <w:color w:val="FF0000"/>
        </w:rPr>
      </w:pPr>
    </w:p>
    <w:p w14:paraId="6D250D8C" w14:textId="36690AE1" w:rsidR="00F92E3D" w:rsidRPr="002C21FB" w:rsidRDefault="00C63265" w:rsidP="00420E1D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 izvještajnom razdoblju </w:t>
      </w:r>
      <w:r w:rsidR="00C865A9" w:rsidRPr="002C21FB">
        <w:rPr>
          <w:rFonts w:ascii="Arial" w:hAnsi="Arial" w:cs="Arial"/>
        </w:rPr>
        <w:t>raspo</w:t>
      </w:r>
      <w:r w:rsidR="00716E8E" w:rsidRPr="002C21FB">
        <w:rPr>
          <w:rFonts w:ascii="Arial" w:hAnsi="Arial" w:cs="Arial"/>
        </w:rPr>
        <w:t>lo</w:t>
      </w:r>
      <w:r w:rsidR="00C865A9" w:rsidRPr="002C21FB">
        <w:rPr>
          <w:rFonts w:ascii="Arial" w:hAnsi="Arial" w:cs="Arial"/>
        </w:rPr>
        <w:t>živa sredstva ostvar</w:t>
      </w:r>
      <w:r w:rsidR="00716E8E" w:rsidRPr="002C21FB">
        <w:rPr>
          <w:rFonts w:ascii="Arial" w:hAnsi="Arial" w:cs="Arial"/>
        </w:rPr>
        <w:t>e</w:t>
      </w:r>
      <w:r w:rsidR="00C865A9" w:rsidRPr="002C21FB">
        <w:rPr>
          <w:rFonts w:ascii="Arial" w:hAnsi="Arial" w:cs="Arial"/>
        </w:rPr>
        <w:t xml:space="preserve">na su kako slijedi: </w:t>
      </w:r>
    </w:p>
    <w:p w14:paraId="4200540F" w14:textId="77777777" w:rsidR="00F92E3D" w:rsidRPr="002A0DF0" w:rsidRDefault="00F92E3D" w:rsidP="00420E1D">
      <w:pPr>
        <w:jc w:val="both"/>
        <w:rPr>
          <w:rFonts w:ascii="Arial" w:hAnsi="Arial" w:cs="Arial"/>
          <w:color w:val="FF0000"/>
        </w:rPr>
      </w:pPr>
    </w:p>
    <w:p w14:paraId="2A10C702" w14:textId="77777777" w:rsidR="00B66EB6" w:rsidRPr="002A0DF0" w:rsidRDefault="00B66EB6" w:rsidP="00420E1D">
      <w:pPr>
        <w:jc w:val="both"/>
        <w:rPr>
          <w:rFonts w:ascii="Arial" w:hAnsi="Arial" w:cs="Arial"/>
          <w:color w:val="FF0000"/>
        </w:rPr>
      </w:pPr>
    </w:p>
    <w:p w14:paraId="56C59753" w14:textId="77777777" w:rsidR="00B66EB6" w:rsidRPr="002A0DF0" w:rsidRDefault="00B66EB6" w:rsidP="00420E1D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71"/>
        <w:gridCol w:w="1151"/>
        <w:gridCol w:w="1353"/>
        <w:gridCol w:w="987"/>
      </w:tblGrid>
      <w:tr w:rsidR="002A0DF0" w:rsidRPr="002A0DF0" w14:paraId="617F0F09" w14:textId="77777777" w:rsidTr="00614E35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02322E38" w14:textId="77777777" w:rsidR="00614E35" w:rsidRPr="002A0DF0" w:rsidRDefault="00614E35" w:rsidP="0092390F">
            <w:pPr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5A4AAF5D" w14:textId="7B10374A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TEKUĆI PLAN 202</w:t>
            </w:r>
            <w:r w:rsidR="00E51D8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E36585A" w14:textId="263A970E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IZVRŠENJE 202</w:t>
            </w:r>
            <w:r w:rsidR="00E51D8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3E97D2CE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2A0DF0" w:rsidRPr="002A0DF0" w14:paraId="6C78F1E8" w14:textId="77777777" w:rsidTr="00614E35">
        <w:trPr>
          <w:trHeight w:val="255"/>
        </w:trPr>
        <w:tc>
          <w:tcPr>
            <w:tcW w:w="0" w:type="auto"/>
            <w:shd w:val="clear" w:color="000000" w:fill="BFBFBF"/>
            <w:noWrap/>
            <w:vAlign w:val="bottom"/>
            <w:hideMark/>
          </w:tcPr>
          <w:p w14:paraId="6270C32E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0" w:type="auto"/>
            <w:shd w:val="clear" w:color="000000" w:fill="BFBFBF"/>
            <w:hideMark/>
          </w:tcPr>
          <w:p w14:paraId="7CE3E8D1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000000" w:fill="BFBFBF"/>
            <w:hideMark/>
          </w:tcPr>
          <w:p w14:paraId="4E679ABA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000000" w:fill="BFBFBF"/>
            <w:hideMark/>
          </w:tcPr>
          <w:p w14:paraId="77CC1CC7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</w:tr>
      <w:tr w:rsidR="002A0DF0" w:rsidRPr="002A0DF0" w14:paraId="1E77E68B" w14:textId="77777777" w:rsidTr="00614E35">
        <w:trPr>
          <w:trHeight w:val="255"/>
        </w:trPr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76E5359B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6CE9715A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52AE7DE9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114851D4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A0DF0" w:rsidRPr="002A0DF0" w14:paraId="7000F3FB" w14:textId="77777777" w:rsidTr="00614E35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8D422A2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0" w:type="auto"/>
            <w:noWrap/>
            <w:vAlign w:val="bottom"/>
            <w:hideMark/>
          </w:tcPr>
          <w:p w14:paraId="591B03AD" w14:textId="253953F4" w:rsidR="00614E35" w:rsidRPr="002D3775" w:rsidRDefault="00E51D86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C563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E347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C5630">
              <w:rPr>
                <w:rFonts w:ascii="Arial" w:hAnsi="Arial" w:cs="Arial"/>
                <w:b/>
                <w:bCs/>
                <w:sz w:val="20"/>
                <w:szCs w:val="20"/>
              </w:rPr>
              <w:t>378,42</w:t>
            </w:r>
          </w:p>
        </w:tc>
        <w:tc>
          <w:tcPr>
            <w:tcW w:w="0" w:type="auto"/>
            <w:noWrap/>
            <w:vAlign w:val="bottom"/>
            <w:hideMark/>
          </w:tcPr>
          <w:p w14:paraId="7C68E51A" w14:textId="1AE1AB5A" w:rsidR="00614E35" w:rsidRPr="002D3775" w:rsidRDefault="009C5630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13.908,23</w:t>
            </w:r>
          </w:p>
        </w:tc>
        <w:tc>
          <w:tcPr>
            <w:tcW w:w="0" w:type="auto"/>
            <w:noWrap/>
            <w:vAlign w:val="bottom"/>
            <w:hideMark/>
          </w:tcPr>
          <w:p w14:paraId="6B607F4F" w14:textId="68078F4D" w:rsidR="00614E35" w:rsidRPr="002D3775" w:rsidRDefault="006279B6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85,00</w:t>
            </w:r>
            <w:r w:rsidR="00614E35"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2A0DF0" w:rsidRPr="002A0DF0" w14:paraId="5142C71A" w14:textId="77777777" w:rsidTr="00614E35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F9CCECE" w14:textId="77777777" w:rsidR="00614E35" w:rsidRPr="002D3775" w:rsidRDefault="00614E3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0B318F9" w14:textId="77777777" w:rsidR="00614E35" w:rsidRPr="002D3775" w:rsidRDefault="00614E35" w:rsidP="009239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1D1E837" w14:textId="77777777" w:rsidR="00614E35" w:rsidRPr="002D3775" w:rsidRDefault="00614E35" w:rsidP="009239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22003E8" w14:textId="77777777" w:rsidR="00614E35" w:rsidRPr="002D3775" w:rsidRDefault="00614E35" w:rsidP="0092390F">
            <w:pPr>
              <w:jc w:val="right"/>
              <w:rPr>
                <w:sz w:val="20"/>
                <w:szCs w:val="20"/>
              </w:rPr>
            </w:pPr>
          </w:p>
        </w:tc>
      </w:tr>
      <w:tr w:rsidR="00716E8E" w:rsidRPr="002A0DF0" w14:paraId="2145FF72" w14:textId="77777777" w:rsidTr="00614E35">
        <w:trPr>
          <w:trHeight w:val="765"/>
        </w:trPr>
        <w:tc>
          <w:tcPr>
            <w:tcW w:w="0" w:type="auto"/>
            <w:hideMark/>
          </w:tcPr>
          <w:p w14:paraId="09DD18F9" w14:textId="77777777" w:rsidR="00614E35" w:rsidRPr="00513DE6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DE6"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 - REZULTAT</w:t>
            </w:r>
          </w:p>
        </w:tc>
        <w:tc>
          <w:tcPr>
            <w:tcW w:w="0" w:type="auto"/>
            <w:noWrap/>
            <w:vAlign w:val="bottom"/>
            <w:hideMark/>
          </w:tcPr>
          <w:p w14:paraId="241FDEC6" w14:textId="43415B36" w:rsidR="00614E35" w:rsidRPr="00513DE6" w:rsidRDefault="009C5630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6279B6">
              <w:rPr>
                <w:rFonts w:ascii="Arial" w:hAnsi="Arial" w:cs="Arial"/>
                <w:b/>
                <w:bCs/>
                <w:sz w:val="20"/>
                <w:szCs w:val="20"/>
              </w:rPr>
              <w:t>.378,42</w:t>
            </w:r>
          </w:p>
        </w:tc>
        <w:tc>
          <w:tcPr>
            <w:tcW w:w="0" w:type="auto"/>
            <w:noWrap/>
            <w:vAlign w:val="bottom"/>
            <w:hideMark/>
          </w:tcPr>
          <w:p w14:paraId="75B20E9E" w14:textId="2DF99549" w:rsidR="00614E35" w:rsidRPr="00513DE6" w:rsidRDefault="00E51D86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279B6">
              <w:rPr>
                <w:rFonts w:ascii="Arial" w:hAnsi="Arial" w:cs="Arial"/>
                <w:b/>
                <w:bCs/>
                <w:sz w:val="20"/>
                <w:szCs w:val="20"/>
              </w:rPr>
              <w:t>3.908,23</w:t>
            </w:r>
          </w:p>
        </w:tc>
        <w:tc>
          <w:tcPr>
            <w:tcW w:w="0" w:type="auto"/>
            <w:noWrap/>
            <w:vAlign w:val="bottom"/>
            <w:hideMark/>
          </w:tcPr>
          <w:p w14:paraId="39057428" w14:textId="1BC2017E" w:rsidR="00614E35" w:rsidRPr="00513DE6" w:rsidRDefault="006279B6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</w:t>
            </w:r>
            <w:r w:rsidR="00614E35" w:rsidRPr="00513DE6">
              <w:rPr>
                <w:rFonts w:ascii="Arial" w:hAnsi="Arial" w:cs="Arial"/>
                <w:b/>
                <w:bCs/>
                <w:sz w:val="20"/>
                <w:szCs w:val="20"/>
              </w:rPr>
              <w:t>,00%</w:t>
            </w:r>
          </w:p>
        </w:tc>
      </w:tr>
    </w:tbl>
    <w:p w14:paraId="556BCD6E" w14:textId="77777777" w:rsidR="007A60DC" w:rsidRPr="002A0DF0" w:rsidRDefault="007A60DC" w:rsidP="00420E1D">
      <w:pPr>
        <w:jc w:val="both"/>
        <w:rPr>
          <w:rFonts w:ascii="Arial" w:hAnsi="Arial" w:cs="Arial"/>
          <w:color w:val="FF0000"/>
        </w:rPr>
      </w:pPr>
    </w:p>
    <w:p w14:paraId="1C549FB0" w14:textId="29EB418C" w:rsidR="005363A1" w:rsidRPr="00D70BA3" w:rsidRDefault="00DE3014" w:rsidP="005164C2">
      <w:pPr>
        <w:ind w:firstLine="708"/>
        <w:jc w:val="both"/>
        <w:rPr>
          <w:rFonts w:ascii="Arial" w:hAnsi="Arial" w:cs="Arial"/>
        </w:rPr>
      </w:pPr>
      <w:r w:rsidRPr="00D70BA3">
        <w:rPr>
          <w:rFonts w:ascii="Arial" w:hAnsi="Arial" w:cs="Arial"/>
        </w:rPr>
        <w:t>Razlika između ukupno ostvarenih prihoda od</w:t>
      </w:r>
      <w:r w:rsidR="00D70BA3" w:rsidRPr="00D70BA3">
        <w:rPr>
          <w:rFonts w:ascii="Arial" w:hAnsi="Arial" w:cs="Arial"/>
        </w:rPr>
        <w:t xml:space="preserve"> </w:t>
      </w:r>
      <w:r w:rsidR="00EB4AF7">
        <w:rPr>
          <w:rFonts w:ascii="Arial" w:hAnsi="Arial" w:cs="Arial"/>
        </w:rPr>
        <w:t>837.322,04</w:t>
      </w:r>
      <w:r w:rsidRPr="00D70BA3">
        <w:rPr>
          <w:rFonts w:ascii="Arial" w:hAnsi="Arial" w:cs="Arial"/>
        </w:rPr>
        <w:t xml:space="preserve"> eura i ukupno ostvarenih rashoda</w:t>
      </w:r>
      <w:r w:rsidR="00E51D86">
        <w:rPr>
          <w:rFonts w:ascii="Arial" w:hAnsi="Arial" w:cs="Arial"/>
        </w:rPr>
        <w:t xml:space="preserve"> </w:t>
      </w:r>
      <w:r w:rsidR="00EB4AF7">
        <w:rPr>
          <w:rFonts w:ascii="Arial" w:hAnsi="Arial" w:cs="Arial"/>
        </w:rPr>
        <w:t>843.269,68</w:t>
      </w:r>
      <w:r w:rsidRPr="00D70BA3">
        <w:rPr>
          <w:rFonts w:ascii="Arial" w:hAnsi="Arial" w:cs="Arial"/>
        </w:rPr>
        <w:t xml:space="preserve"> </w:t>
      </w:r>
      <w:r w:rsidR="00D70BA3" w:rsidRPr="00D70BA3">
        <w:rPr>
          <w:rFonts w:ascii="Arial" w:hAnsi="Arial" w:cs="Arial"/>
        </w:rPr>
        <w:t>eura</w:t>
      </w:r>
      <w:r w:rsidRPr="00D70BA3">
        <w:rPr>
          <w:rFonts w:ascii="Arial" w:hAnsi="Arial" w:cs="Arial"/>
        </w:rPr>
        <w:t xml:space="preserve"> </w:t>
      </w:r>
      <w:r w:rsidR="00420E1D" w:rsidRPr="00D70BA3">
        <w:rPr>
          <w:rFonts w:ascii="Arial" w:hAnsi="Arial" w:cs="Arial"/>
        </w:rPr>
        <w:t xml:space="preserve">za razdoblje siječanj – </w:t>
      </w:r>
      <w:r w:rsidR="00EB4AF7">
        <w:rPr>
          <w:rFonts w:ascii="Arial" w:hAnsi="Arial" w:cs="Arial"/>
        </w:rPr>
        <w:t>prosinac</w:t>
      </w:r>
      <w:r w:rsidR="00420E1D" w:rsidRPr="00D70BA3">
        <w:rPr>
          <w:rFonts w:ascii="Arial" w:hAnsi="Arial" w:cs="Arial"/>
        </w:rPr>
        <w:t xml:space="preserve"> 202</w:t>
      </w:r>
      <w:r w:rsidR="00E51D86">
        <w:rPr>
          <w:rFonts w:ascii="Arial" w:hAnsi="Arial" w:cs="Arial"/>
        </w:rPr>
        <w:t>5</w:t>
      </w:r>
      <w:r w:rsidR="00420E1D" w:rsidRPr="00D70BA3">
        <w:rPr>
          <w:rFonts w:ascii="Arial" w:hAnsi="Arial" w:cs="Arial"/>
        </w:rPr>
        <w:t xml:space="preserve">. godine iznosi </w:t>
      </w:r>
      <w:r w:rsidR="00E51D86">
        <w:rPr>
          <w:rFonts w:ascii="Arial" w:hAnsi="Arial" w:cs="Arial"/>
        </w:rPr>
        <w:t xml:space="preserve">– </w:t>
      </w:r>
      <w:r w:rsidR="00EB4AF7">
        <w:rPr>
          <w:rFonts w:ascii="Arial" w:hAnsi="Arial" w:cs="Arial"/>
        </w:rPr>
        <w:t xml:space="preserve">5.947,64 </w:t>
      </w:r>
      <w:r w:rsidR="00614E35" w:rsidRPr="00D70BA3">
        <w:rPr>
          <w:rFonts w:ascii="Arial" w:hAnsi="Arial" w:cs="Arial"/>
        </w:rPr>
        <w:t>eur</w:t>
      </w:r>
      <w:r w:rsidR="00F86CA8" w:rsidRPr="00D70BA3">
        <w:rPr>
          <w:rFonts w:ascii="Arial" w:hAnsi="Arial" w:cs="Arial"/>
        </w:rPr>
        <w:t>a</w:t>
      </w:r>
      <w:r w:rsidR="00E23D7C">
        <w:rPr>
          <w:rFonts w:ascii="Arial" w:hAnsi="Arial" w:cs="Arial"/>
        </w:rPr>
        <w:t>.</w:t>
      </w:r>
      <w:r w:rsidR="00420E1D" w:rsidRPr="00D70BA3">
        <w:rPr>
          <w:rFonts w:ascii="Arial" w:hAnsi="Arial" w:cs="Arial"/>
        </w:rPr>
        <w:t xml:space="preserve"> </w:t>
      </w:r>
    </w:p>
    <w:p w14:paraId="01536355" w14:textId="2145DE37" w:rsidR="00420E1D" w:rsidRPr="008C2EEA" w:rsidRDefault="00E23D7C" w:rsidP="00420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363A1" w:rsidRPr="008C2EEA">
        <w:rPr>
          <w:rFonts w:ascii="Arial" w:hAnsi="Arial" w:cs="Arial"/>
        </w:rPr>
        <w:t xml:space="preserve">reneseni višak iz prethodne godine iznosi </w:t>
      </w:r>
      <w:r w:rsidR="00E51D86">
        <w:rPr>
          <w:rFonts w:ascii="Arial" w:hAnsi="Arial" w:cs="Arial"/>
        </w:rPr>
        <w:t>16.378,42</w:t>
      </w:r>
      <w:r w:rsidR="00C43295" w:rsidRPr="008C2EEA">
        <w:rPr>
          <w:rFonts w:ascii="Arial" w:hAnsi="Arial" w:cs="Arial"/>
        </w:rPr>
        <w:t xml:space="preserve"> eura </w:t>
      </w:r>
      <w:r w:rsidR="005363A1" w:rsidRPr="008C2EEA">
        <w:rPr>
          <w:rFonts w:ascii="Arial" w:hAnsi="Arial" w:cs="Arial"/>
        </w:rPr>
        <w:t xml:space="preserve">što zajedno s ostvarenim </w:t>
      </w:r>
      <w:r w:rsidR="00E51D86">
        <w:rPr>
          <w:rFonts w:ascii="Arial" w:hAnsi="Arial" w:cs="Arial"/>
        </w:rPr>
        <w:t>manjkom</w:t>
      </w:r>
      <w:r w:rsidR="00C43295" w:rsidRPr="008C2EEA">
        <w:rPr>
          <w:rFonts w:ascii="Arial" w:hAnsi="Arial" w:cs="Arial"/>
        </w:rPr>
        <w:t xml:space="preserve"> iz izvještajnog razdoblja </w:t>
      </w:r>
      <w:r w:rsidR="0021370D" w:rsidRPr="008C2EEA">
        <w:rPr>
          <w:rFonts w:ascii="Arial" w:hAnsi="Arial" w:cs="Arial"/>
        </w:rPr>
        <w:t>iznosi</w:t>
      </w:r>
      <w:r w:rsidR="008C2EEA" w:rsidRPr="008C2EEA">
        <w:rPr>
          <w:rFonts w:ascii="Arial" w:hAnsi="Arial" w:cs="Arial"/>
        </w:rPr>
        <w:t xml:space="preserve"> </w:t>
      </w:r>
      <w:r w:rsidR="00920023">
        <w:rPr>
          <w:rFonts w:ascii="Arial" w:hAnsi="Arial" w:cs="Arial"/>
        </w:rPr>
        <w:t>1</w:t>
      </w:r>
      <w:r w:rsidR="00EB4AF7">
        <w:rPr>
          <w:rFonts w:ascii="Arial" w:hAnsi="Arial" w:cs="Arial"/>
        </w:rPr>
        <w:t>0.430,78</w:t>
      </w:r>
      <w:r w:rsidR="0021370D" w:rsidRPr="008C2EEA">
        <w:rPr>
          <w:rFonts w:ascii="Arial" w:hAnsi="Arial" w:cs="Arial"/>
        </w:rPr>
        <w:t xml:space="preserve"> eura. </w:t>
      </w:r>
    </w:p>
    <w:p w14:paraId="2EB38053" w14:textId="3A94641A" w:rsidR="00420E1D" w:rsidRPr="008C2EEA" w:rsidRDefault="00420E1D" w:rsidP="00420E1D">
      <w:pPr>
        <w:jc w:val="both"/>
        <w:rPr>
          <w:rFonts w:ascii="Arial" w:hAnsi="Arial" w:cs="Arial"/>
        </w:rPr>
      </w:pPr>
    </w:p>
    <w:p w14:paraId="69D11BE6" w14:textId="16283A52" w:rsidR="00F8617D" w:rsidRDefault="00F8617D" w:rsidP="00420E1D">
      <w:pPr>
        <w:jc w:val="both"/>
        <w:rPr>
          <w:rFonts w:ascii="Arial" w:hAnsi="Arial" w:cs="Arial"/>
          <w:color w:val="FF0000"/>
        </w:rPr>
      </w:pPr>
    </w:p>
    <w:p w14:paraId="4FF9A155" w14:textId="77777777" w:rsidR="003B337C" w:rsidRDefault="003B337C" w:rsidP="00420E1D">
      <w:pPr>
        <w:jc w:val="both"/>
        <w:rPr>
          <w:rFonts w:ascii="Arial" w:hAnsi="Arial" w:cs="Arial"/>
          <w:color w:val="FF0000"/>
        </w:rPr>
      </w:pPr>
    </w:p>
    <w:p w14:paraId="74D0D44F" w14:textId="77777777" w:rsidR="003B337C" w:rsidRDefault="003B337C" w:rsidP="00420E1D">
      <w:pPr>
        <w:jc w:val="both"/>
        <w:rPr>
          <w:rFonts w:ascii="Arial" w:hAnsi="Arial" w:cs="Arial"/>
          <w:color w:val="FF0000"/>
        </w:rPr>
      </w:pPr>
    </w:p>
    <w:p w14:paraId="2F63107B" w14:textId="77777777" w:rsidR="003B337C" w:rsidRPr="002A0DF0" w:rsidRDefault="003B337C" w:rsidP="00420E1D">
      <w:pPr>
        <w:jc w:val="both"/>
        <w:rPr>
          <w:rFonts w:ascii="Arial" w:hAnsi="Arial" w:cs="Arial"/>
          <w:color w:val="FF0000"/>
        </w:rPr>
      </w:pPr>
    </w:p>
    <w:p w14:paraId="48AD97EF" w14:textId="77777777" w:rsidR="003B337C" w:rsidRDefault="003B337C" w:rsidP="003B337C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</w:rPr>
        <w:t>OBRAZLOŽENJE POSEBNOG DIJELA</w:t>
      </w:r>
    </w:p>
    <w:p w14:paraId="46AA82AB" w14:textId="77777777" w:rsidR="003B337C" w:rsidRDefault="003B337C" w:rsidP="003B337C">
      <w:pPr>
        <w:jc w:val="center"/>
        <w:rPr>
          <w:rFonts w:cs="Arial"/>
          <w:b/>
          <w:bCs/>
        </w:rPr>
      </w:pPr>
    </w:p>
    <w:p w14:paraId="1663A19B" w14:textId="77777777" w:rsidR="003B337C" w:rsidRDefault="003B337C" w:rsidP="003B337C">
      <w:pPr>
        <w:jc w:val="center"/>
        <w:rPr>
          <w:rFonts w:cs="Arial"/>
          <w:b/>
          <w:bCs/>
        </w:rPr>
      </w:pPr>
    </w:p>
    <w:p w14:paraId="073B75BA" w14:textId="77777777" w:rsidR="003B337C" w:rsidRDefault="003B337C" w:rsidP="003B337C">
      <w:pPr>
        <w:jc w:val="both"/>
        <w:rPr>
          <w:rFonts w:cstheme="minorBidi"/>
          <w:bCs/>
        </w:rPr>
      </w:pPr>
      <w:r>
        <w:rPr>
          <w:bCs/>
        </w:rPr>
        <w:t>U posebnom djelu polugodišnjeg izvještaja iskazani su rashodi i izdaci prema izvorima financiranja i ekonomskoj klasifikaciji raspoređeni u dva osnovna programa.</w:t>
      </w:r>
    </w:p>
    <w:p w14:paraId="0F201FD0" w14:textId="77777777" w:rsidR="003B337C" w:rsidRDefault="003B337C" w:rsidP="003B337C">
      <w:pPr>
        <w:jc w:val="both"/>
        <w:rPr>
          <w:rFonts w:ascii="Arial" w:hAnsi="Arial"/>
          <w:b/>
        </w:rPr>
      </w:pPr>
    </w:p>
    <w:p w14:paraId="5E712DBA" w14:textId="77777777" w:rsidR="003B337C" w:rsidRDefault="003B337C" w:rsidP="003B337C">
      <w:pPr>
        <w:jc w:val="both"/>
        <w:rPr>
          <w:b/>
        </w:rPr>
      </w:pPr>
    </w:p>
    <w:p w14:paraId="36F41721" w14:textId="77777777" w:rsidR="003B337C" w:rsidRDefault="003B337C" w:rsidP="003B337C">
      <w:pPr>
        <w:rPr>
          <w:rFonts w:cs="Arial"/>
          <w:lang w:eastAsia="en-US"/>
        </w:rPr>
      </w:pPr>
    </w:p>
    <w:p w14:paraId="4D282FAB" w14:textId="77777777" w:rsidR="003B337C" w:rsidRDefault="003B337C" w:rsidP="003B337C">
      <w:pPr>
        <w:pStyle w:val="Odlomakpopisa"/>
        <w:numPr>
          <w:ilvl w:val="0"/>
          <w:numId w:val="49"/>
        </w:numPr>
        <w:autoSpaceDE w:val="0"/>
        <w:autoSpaceDN w:val="0"/>
        <w:adjustRightInd w:val="0"/>
        <w:rPr>
          <w:rFonts w:ascii="Arial" w:hAnsi="Arial"/>
        </w:rPr>
      </w:pPr>
      <w:r>
        <w:t>PROGRAM 1004 - financiranje decentraliziranih funkcija vatrogastva</w:t>
      </w:r>
    </w:p>
    <w:p w14:paraId="19B9956E" w14:textId="77777777" w:rsidR="003B337C" w:rsidRDefault="003B337C" w:rsidP="003B337C">
      <w:pPr>
        <w:pStyle w:val="Odlomakpopisa"/>
        <w:numPr>
          <w:ilvl w:val="0"/>
          <w:numId w:val="49"/>
        </w:numPr>
        <w:autoSpaceDE w:val="0"/>
        <w:autoSpaceDN w:val="0"/>
        <w:adjustRightInd w:val="0"/>
      </w:pPr>
      <w:r>
        <w:t>PROGRAM 1005 - financiranje vatrogastva iznad minimalnog standarda</w:t>
      </w:r>
    </w:p>
    <w:p w14:paraId="7FA65C6C" w14:textId="77777777" w:rsidR="003B337C" w:rsidRDefault="003B337C" w:rsidP="003B337C">
      <w:pPr>
        <w:autoSpaceDE w:val="0"/>
        <w:autoSpaceDN w:val="0"/>
        <w:adjustRightInd w:val="0"/>
      </w:pPr>
    </w:p>
    <w:tbl>
      <w:tblPr>
        <w:tblW w:w="16508" w:type="dxa"/>
        <w:tblLook w:val="04A0" w:firstRow="1" w:lastRow="0" w:firstColumn="1" w:lastColumn="0" w:noHBand="0" w:noVBand="1"/>
      </w:tblPr>
      <w:tblGrid>
        <w:gridCol w:w="1340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B337C" w14:paraId="42D3C7FC" w14:textId="77777777" w:rsidTr="003B337C">
        <w:trPr>
          <w:trHeight w:val="255"/>
        </w:trPr>
        <w:tc>
          <w:tcPr>
            <w:tcW w:w="13400" w:type="dxa"/>
            <w:noWrap/>
            <w:vAlign w:val="bottom"/>
          </w:tcPr>
          <w:p w14:paraId="2C3495AB" w14:textId="77777777" w:rsidR="003B337C" w:rsidRDefault="003B337C">
            <w:pPr>
              <w:spacing w:after="1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85E9377" w14:textId="77777777" w:rsidR="003B337C" w:rsidRDefault="003B33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F4C2DF8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88C791C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00EDDDF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5627E6B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E989082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DECA990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B31C717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FAF85AA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BA78919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54362B7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52EF021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4BF002D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E767E30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ABF280" w14:textId="77777777" w:rsidR="003B337C" w:rsidRDefault="003B337C" w:rsidP="003B337C">
      <w:pPr>
        <w:autoSpaceDE w:val="0"/>
        <w:autoSpaceDN w:val="0"/>
        <w:adjustRightInd w:val="0"/>
        <w:rPr>
          <w:rFonts w:ascii="Arial" w:hAnsi="Arial" w:cstheme="minorBidi"/>
          <w:sz w:val="22"/>
          <w:szCs w:val="22"/>
        </w:rPr>
      </w:pPr>
    </w:p>
    <w:p w14:paraId="4C82FE2D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ab/>
        <w:t>Javna vatrogasna postrojba Buzet  izvršava  Financijski plan  u okviru  razdjela 200 – Upravni  odjel  za opću upravu, društvene djelatnosti i razvojne projekte, Glava 20002 – Vatrogasne službe i u okviru razdjela 000 – Grad Buzet, Glava 00001 – Javna vatrogasna postrojba Buzet.</w:t>
      </w:r>
    </w:p>
    <w:p w14:paraId="585DF0D8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Financijsko poslovanje JVP Buzet  odvija  putem svojeg  žiro-računa.</w:t>
      </w:r>
    </w:p>
    <w:p w14:paraId="26ED68E9" w14:textId="77777777" w:rsidR="003B337C" w:rsidRDefault="003B337C" w:rsidP="003B337C">
      <w:pPr>
        <w:pStyle w:val="Odlomakpopisa"/>
        <w:ind w:left="0"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Rad Javne vatrogasne postrojbe Buzet ostvaruje se u dva programa kojima se osigurava  nesmetano  funkcioniranje postrojbe.</w:t>
      </w:r>
    </w:p>
    <w:p w14:paraId="7CDE6F55" w14:textId="77777777" w:rsidR="003B337C" w:rsidRDefault="003B337C" w:rsidP="003B337C">
      <w:pPr>
        <w:autoSpaceDE w:val="0"/>
        <w:autoSpaceDN w:val="0"/>
        <w:adjustRightInd w:val="0"/>
        <w:jc w:val="both"/>
        <w:rPr>
          <w:color w:val="FF0000"/>
        </w:rPr>
      </w:pPr>
    </w:p>
    <w:p w14:paraId="3B87DB18" w14:textId="77777777" w:rsidR="003B337C" w:rsidRDefault="003B337C" w:rsidP="003B337C">
      <w:pPr>
        <w:ind w:firstLine="708"/>
        <w:jc w:val="both"/>
      </w:pPr>
    </w:p>
    <w:p w14:paraId="65ECEB27" w14:textId="77777777" w:rsidR="003B337C" w:rsidRDefault="003B337C" w:rsidP="003B337C">
      <w:pPr>
        <w:ind w:firstLine="708"/>
        <w:jc w:val="both"/>
        <w:rPr>
          <w:b/>
          <w:lang w:eastAsia="en-US"/>
        </w:rPr>
      </w:pPr>
      <w:r>
        <w:rPr>
          <w:b/>
        </w:rPr>
        <w:t>Program: Financiranje decentraliziranih funkcija vatrogastva</w:t>
      </w:r>
    </w:p>
    <w:p w14:paraId="4D06234A" w14:textId="77777777" w:rsidR="003B337C" w:rsidRDefault="003B337C" w:rsidP="003B337C">
      <w:pPr>
        <w:ind w:firstLine="708"/>
        <w:jc w:val="both"/>
        <w:rPr>
          <w:b/>
        </w:rPr>
      </w:pPr>
    </w:p>
    <w:p w14:paraId="7F84ABD7" w14:textId="77777777" w:rsidR="003B337C" w:rsidRDefault="003B337C" w:rsidP="003B337C">
      <w:pPr>
        <w:ind w:firstLine="708"/>
        <w:jc w:val="both"/>
        <w:rPr>
          <w:bCs/>
        </w:rPr>
      </w:pPr>
      <w:r>
        <w:rPr>
          <w:bCs/>
        </w:rPr>
        <w:t>Aktivnost:  REDOVNA DJELATNOST JAVNE VATROGASNE POSTROJBE</w:t>
      </w:r>
    </w:p>
    <w:p w14:paraId="1FC14EC5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/>
        </w:rPr>
      </w:pPr>
      <w:r>
        <w:tab/>
      </w:r>
      <w:r>
        <w:tab/>
      </w:r>
    </w:p>
    <w:p w14:paraId="55F79230" w14:textId="27626F89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>Program je realiziran  temeljem Odluke o minimalnim financijskim standardima za decentralizirano financiranje redovite djelatnosti javnih vatrogasnih postrojbi u 202</w:t>
      </w:r>
      <w:r w:rsidR="000B0BB6">
        <w:rPr>
          <w:sz w:val="22"/>
          <w:szCs w:val="22"/>
        </w:rPr>
        <w:t>5</w:t>
      </w:r>
      <w:r>
        <w:rPr>
          <w:sz w:val="22"/>
          <w:szCs w:val="22"/>
        </w:rPr>
        <w:t>. godini .</w:t>
      </w:r>
    </w:p>
    <w:p w14:paraId="15B0253D" w14:textId="700E7C3A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Odlukom su utvrđeni minimalni financijski standardi za financiranje rashoda za zaposlene te materijalne i financijske rashode u iznosu od 3</w:t>
      </w:r>
      <w:r w:rsidR="000B0BB6">
        <w:rPr>
          <w:sz w:val="22"/>
          <w:szCs w:val="22"/>
        </w:rPr>
        <w:t>90.044</w:t>
      </w:r>
      <w:r>
        <w:rPr>
          <w:sz w:val="22"/>
          <w:szCs w:val="22"/>
        </w:rPr>
        <w:t xml:space="preserve">,00 €. </w:t>
      </w:r>
    </w:p>
    <w:p w14:paraId="21915AEC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Navedena sredstva osiguravaju osnivači JVP Buzet  iz dodatnog udjela u porezu na dohodak po stopi od 1,0%. Ukoliko osnivači ne osiguraju potrebna sredstva za financiranje rashoda decentraliziranih funkcija vatrogastva, razlika sredstava ostvaruju s pozicije pomoći izravnanja za decentralizirane funkcije iz Državnog proračuna Republike Hrvatske. </w:t>
      </w:r>
    </w:p>
    <w:p w14:paraId="6059C754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Decentralizirana sredstva koristila su se prema utvrđenoj namjeni  za rashode za zaposlene i za materijale rashode.</w:t>
      </w:r>
    </w:p>
    <w:p w14:paraId="0177F31B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71B602C3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4704542E" w14:textId="77777777" w:rsidR="00701211" w:rsidRDefault="00701211" w:rsidP="003B337C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59BA6AB7" w14:textId="77777777" w:rsidR="00701211" w:rsidRDefault="00701211" w:rsidP="003B337C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6E94D645" w14:textId="77777777" w:rsidR="003B337C" w:rsidRDefault="003B337C" w:rsidP="003B337C">
      <w:pPr>
        <w:rPr>
          <w:b/>
        </w:rPr>
      </w:pPr>
      <w:r>
        <w:rPr>
          <w:bCs/>
          <w:color w:val="FF0000"/>
        </w:rPr>
        <w:tab/>
      </w:r>
      <w:r>
        <w:rPr>
          <w:b/>
        </w:rPr>
        <w:t>Program: Financiranje vatrogastva iznad minimalnog standarda</w:t>
      </w:r>
    </w:p>
    <w:p w14:paraId="5EECFBF1" w14:textId="77777777" w:rsidR="003B337C" w:rsidRDefault="003B337C" w:rsidP="003B337C">
      <w:pPr>
        <w:rPr>
          <w:b/>
        </w:rPr>
      </w:pPr>
    </w:p>
    <w:p w14:paraId="448A3586" w14:textId="77777777" w:rsidR="003B337C" w:rsidRDefault="003B337C" w:rsidP="003B337C">
      <w:pPr>
        <w:rPr>
          <w:b/>
        </w:rPr>
      </w:pPr>
    </w:p>
    <w:p w14:paraId="053441E1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>Ovim programom omogućilo se financiranje postrojbe iznad minimalnog standarda.</w:t>
      </w:r>
    </w:p>
    <w:p w14:paraId="40D0134E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Program je podijeljen u tri aktivnosti. </w:t>
      </w:r>
    </w:p>
    <w:p w14:paraId="43F9D2E0" w14:textId="77777777" w:rsidR="003B337C" w:rsidRDefault="003B337C" w:rsidP="003B337C">
      <w:pPr>
        <w:rPr>
          <w:b/>
        </w:rPr>
      </w:pPr>
    </w:p>
    <w:p w14:paraId="20C6FBB2" w14:textId="77777777" w:rsidR="000B0BB6" w:rsidRDefault="000B0BB6" w:rsidP="003B337C">
      <w:pPr>
        <w:rPr>
          <w:b/>
        </w:rPr>
      </w:pPr>
    </w:p>
    <w:p w14:paraId="621BBAAF" w14:textId="77777777" w:rsidR="003B337C" w:rsidRDefault="003B337C" w:rsidP="003B337C">
      <w:pPr>
        <w:rPr>
          <w:bCs/>
        </w:rPr>
      </w:pPr>
      <w:r>
        <w:rPr>
          <w:b/>
        </w:rPr>
        <w:tab/>
      </w:r>
      <w:r>
        <w:rPr>
          <w:bCs/>
        </w:rPr>
        <w:t>Aktivnost: RASHODI ZA ZAPOSLENE</w:t>
      </w:r>
    </w:p>
    <w:p w14:paraId="5CD5A736" w14:textId="77777777" w:rsidR="003B337C" w:rsidRDefault="003B337C" w:rsidP="003B337C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MATERIJALNI RASHODI</w:t>
      </w:r>
    </w:p>
    <w:p w14:paraId="0B7CA214" w14:textId="76C0A538" w:rsidR="003B337C" w:rsidRDefault="003B337C" w:rsidP="003B337C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</w:t>
      </w:r>
    </w:p>
    <w:p w14:paraId="51A23118" w14:textId="77777777" w:rsidR="003B337C" w:rsidRDefault="003B337C" w:rsidP="003B337C">
      <w:pPr>
        <w:rPr>
          <w:bCs/>
          <w:color w:val="FF0000"/>
        </w:rPr>
      </w:pPr>
    </w:p>
    <w:p w14:paraId="564235E4" w14:textId="77777777" w:rsidR="003B337C" w:rsidRDefault="003B337C" w:rsidP="003B337C">
      <w:pPr>
        <w:rPr>
          <w:bCs/>
          <w:color w:val="FF0000"/>
        </w:rPr>
      </w:pPr>
    </w:p>
    <w:p w14:paraId="451A534E" w14:textId="77777777" w:rsidR="003B337C" w:rsidRDefault="003B337C" w:rsidP="003B337C">
      <w:pPr>
        <w:rPr>
          <w:bCs/>
        </w:rPr>
      </w:pPr>
      <w:r>
        <w:rPr>
          <w:bCs/>
        </w:rPr>
        <w:t>Aktivnost: RASODI ZA ZAPOSLENE I  MATERIJALNI RASHODI</w:t>
      </w:r>
    </w:p>
    <w:p w14:paraId="1DFAAB42" w14:textId="77777777" w:rsidR="003B337C" w:rsidRDefault="003B337C" w:rsidP="003B337C">
      <w:pPr>
        <w:rPr>
          <w:bCs/>
        </w:rPr>
      </w:pPr>
    </w:p>
    <w:p w14:paraId="3488C73D" w14:textId="77777777" w:rsidR="003B337C" w:rsidRDefault="003B337C" w:rsidP="003B337C">
      <w:pPr>
        <w:rPr>
          <w:bCs/>
        </w:rPr>
      </w:pPr>
    </w:p>
    <w:p w14:paraId="7E5034D7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ab/>
        <w:t xml:space="preserve">Nedostatna sredstva potrebna za financiranje rashoda za zaposlene Javne vatrogasne postrojbe Buzet  osigurali  su osnivači JVP Buzet shodno udjelu prema Sporazumu o osnivanju. </w:t>
      </w:r>
    </w:p>
    <w:p w14:paraId="26789A38" w14:textId="77777777" w:rsidR="000B0BB6" w:rsidRDefault="000B0BB6" w:rsidP="003B337C">
      <w:pPr>
        <w:tabs>
          <w:tab w:val="left" w:pos="700"/>
        </w:tabs>
        <w:jc w:val="both"/>
        <w:rPr>
          <w:color w:val="000000" w:themeColor="text1"/>
        </w:rPr>
      </w:pPr>
    </w:p>
    <w:p w14:paraId="5FC5995C" w14:textId="01454CBE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Dok se decentralizirana sredstva koriste </w:t>
      </w:r>
      <w:r w:rsidR="00511410">
        <w:rPr>
          <w:color w:val="000000" w:themeColor="text1"/>
        </w:rPr>
        <w:t xml:space="preserve">većinom </w:t>
      </w:r>
      <w:r>
        <w:rPr>
          <w:color w:val="000000" w:themeColor="text1"/>
        </w:rPr>
        <w:t xml:space="preserve"> za bruto plaće i doprinose</w:t>
      </w:r>
      <w:r w:rsidRPr="00511410">
        <w:t>,</w:t>
      </w:r>
      <w:r w:rsidR="00511410" w:rsidRPr="00511410">
        <w:t xml:space="preserve"> te neki mali dio za materijalne</w:t>
      </w:r>
      <w:r w:rsidR="00511410">
        <w:t>,</w:t>
      </w:r>
      <w:r w:rsidR="00511410" w:rsidRPr="00511410">
        <w:t xml:space="preserve"> </w:t>
      </w:r>
      <w:r w:rsidRPr="00511410">
        <w:t xml:space="preserve"> sredstvima iznad minimalnog standarda omogućilo se plaćanje razlike bruto plaće, doprinosa te ostalih rashoda za zaposlene kao što su  regres, jubilar</w:t>
      </w:r>
      <w:r>
        <w:rPr>
          <w:color w:val="000000" w:themeColor="text1"/>
        </w:rPr>
        <w:t xml:space="preserve">ne nagrade i ostali rashodi te dio materijalnih troškova. </w:t>
      </w:r>
    </w:p>
    <w:p w14:paraId="3A9941ED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Iz izvora vlastitih prihoda plaćao se također dio materijalnih troškova.</w:t>
      </w:r>
    </w:p>
    <w:p w14:paraId="24830355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>Prihodi iz donacija Područne vatrogasne zajednice Buzet   utrošeni su na materijalne rashode i dio rashoda za zaposlene koji  se ne uspijevaju platiti iz decentraliziranih sredstava, a prihod Vatrogasne zajednice Istarske županije utrošen je na sezonske vatrogasce.</w:t>
      </w:r>
    </w:p>
    <w:p w14:paraId="5BCD1710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</w:p>
    <w:p w14:paraId="02A82BBC" w14:textId="77777777" w:rsidR="00F8617D" w:rsidRPr="002A0DF0" w:rsidRDefault="00F8617D" w:rsidP="00420E1D">
      <w:pPr>
        <w:jc w:val="both"/>
        <w:rPr>
          <w:rFonts w:ascii="Arial" w:hAnsi="Arial" w:cs="Arial"/>
          <w:color w:val="FF0000"/>
        </w:rPr>
      </w:pPr>
    </w:p>
    <w:p w14:paraId="482CC638" w14:textId="5DF52CA7" w:rsidR="00C52A02" w:rsidRPr="008254EC" w:rsidRDefault="00420E1D" w:rsidP="00C52A02">
      <w:pPr>
        <w:jc w:val="both"/>
        <w:rPr>
          <w:rFonts w:ascii="Arial" w:hAnsi="Arial" w:cs="Arial"/>
          <w:sz w:val="22"/>
          <w:szCs w:val="22"/>
        </w:rPr>
      </w:pPr>
      <w:r w:rsidRPr="008254EC">
        <w:rPr>
          <w:rFonts w:ascii="Arial" w:hAnsi="Arial" w:cs="Arial"/>
          <w:sz w:val="22"/>
          <w:szCs w:val="22"/>
        </w:rPr>
        <w:t>Izvješće pripremil</w:t>
      </w:r>
      <w:r w:rsidR="00932A24" w:rsidRPr="008254EC">
        <w:rPr>
          <w:rFonts w:ascii="Arial" w:hAnsi="Arial" w:cs="Arial"/>
          <w:sz w:val="22"/>
          <w:szCs w:val="22"/>
        </w:rPr>
        <w:t>a</w:t>
      </w:r>
      <w:r w:rsidR="00C52A02" w:rsidRPr="008254EC">
        <w:rPr>
          <w:rFonts w:ascii="Arial" w:hAnsi="Arial" w:cs="Arial"/>
          <w:sz w:val="22"/>
          <w:szCs w:val="22"/>
        </w:rPr>
        <w:t>:</w:t>
      </w:r>
      <w:r w:rsidR="00932A24" w:rsidRPr="008254EC">
        <w:rPr>
          <w:rFonts w:ascii="Arial" w:hAnsi="Arial" w:cs="Arial"/>
          <w:sz w:val="22"/>
          <w:szCs w:val="22"/>
        </w:rPr>
        <w:t xml:space="preserve"> </w:t>
      </w:r>
      <w:r w:rsidR="008254EC">
        <w:rPr>
          <w:rFonts w:ascii="Arial" w:hAnsi="Arial" w:cs="Arial"/>
          <w:sz w:val="22"/>
          <w:szCs w:val="22"/>
        </w:rPr>
        <w:t>Gabrijela Fabijančić</w:t>
      </w:r>
    </w:p>
    <w:p w14:paraId="2508A100" w14:textId="77777777" w:rsidR="00C52A02" w:rsidRPr="008254EC" w:rsidRDefault="00C52A02">
      <w:pPr>
        <w:jc w:val="both"/>
        <w:rPr>
          <w:rFonts w:ascii="Arial" w:hAnsi="Arial" w:cs="Arial"/>
          <w:sz w:val="22"/>
          <w:szCs w:val="22"/>
        </w:rPr>
      </w:pPr>
    </w:p>
    <w:sectPr w:rsidR="00C52A02" w:rsidRPr="008254EC" w:rsidSect="006F5B12">
      <w:footerReference w:type="default" r:id="rId10"/>
      <w:pgSz w:w="11906" w:h="16838"/>
      <w:pgMar w:top="107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6B90" w14:textId="77777777" w:rsidR="00246918" w:rsidRDefault="00246918" w:rsidP="0090200F">
      <w:r>
        <w:separator/>
      </w:r>
    </w:p>
  </w:endnote>
  <w:endnote w:type="continuationSeparator" w:id="0">
    <w:p w14:paraId="58BE9978" w14:textId="77777777" w:rsidR="00246918" w:rsidRDefault="00246918" w:rsidP="0090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2A34" w14:textId="0E6F7AE2" w:rsidR="00E241B2" w:rsidRDefault="00F0147B" w:rsidP="00C02CA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0200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30B2BB" w14:textId="77777777" w:rsidR="00E241B2" w:rsidRDefault="00E241B2" w:rsidP="008A17F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7710186"/>
      <w:docPartObj>
        <w:docPartGallery w:val="Page Numbers (Bottom of Page)"/>
        <w:docPartUnique/>
      </w:docPartObj>
    </w:sdtPr>
    <w:sdtContent>
      <w:p w14:paraId="5433DF6F" w14:textId="76DB8E0D" w:rsidR="00B2007B" w:rsidRPr="004C137C" w:rsidRDefault="00B2007B" w:rsidP="000D5851">
        <w:pPr>
          <w:pStyle w:val="Podnoje"/>
          <w:jc w:val="center"/>
          <w:rPr>
            <w:rFonts w:ascii="Arial" w:hAnsi="Arial" w:cs="Arial"/>
          </w:rPr>
        </w:pPr>
        <w:r w:rsidRPr="004C137C">
          <w:rPr>
            <w:rFonts w:ascii="Arial" w:hAnsi="Arial" w:cs="Arial"/>
          </w:rPr>
          <w:fldChar w:fldCharType="begin"/>
        </w:r>
        <w:r w:rsidRPr="004C137C">
          <w:rPr>
            <w:rFonts w:ascii="Arial" w:hAnsi="Arial" w:cs="Arial"/>
          </w:rPr>
          <w:instrText>PAGE   \* MERGEFORMAT</w:instrText>
        </w:r>
        <w:r w:rsidRPr="004C137C">
          <w:rPr>
            <w:rFonts w:ascii="Arial" w:hAnsi="Arial" w:cs="Arial"/>
          </w:rPr>
          <w:fldChar w:fldCharType="separate"/>
        </w:r>
        <w:r w:rsidRPr="004C137C">
          <w:rPr>
            <w:rFonts w:ascii="Arial" w:hAnsi="Arial" w:cs="Arial"/>
          </w:rPr>
          <w:t>2</w:t>
        </w:r>
        <w:r w:rsidRPr="004C137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92F3" w14:textId="77777777" w:rsidR="00246918" w:rsidRDefault="00246918" w:rsidP="0090200F">
      <w:r>
        <w:separator/>
      </w:r>
    </w:p>
  </w:footnote>
  <w:footnote w:type="continuationSeparator" w:id="0">
    <w:p w14:paraId="4A7973F3" w14:textId="77777777" w:rsidR="00246918" w:rsidRDefault="00246918" w:rsidP="0090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57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63104"/>
    <w:multiLevelType w:val="hybridMultilevel"/>
    <w:tmpl w:val="66787AC2"/>
    <w:lvl w:ilvl="0" w:tplc="A968874E">
      <w:start w:val="13"/>
      <w:numFmt w:val="bullet"/>
      <w:lvlText w:val="-"/>
      <w:lvlJc w:val="left"/>
      <w:pPr>
        <w:ind w:left="720" w:hanging="360"/>
      </w:pPr>
      <w:rPr>
        <w:rFonts w:ascii="Calibri Light" w:eastAsia="N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6CC"/>
    <w:multiLevelType w:val="hybridMultilevel"/>
    <w:tmpl w:val="1C66B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A426C"/>
    <w:multiLevelType w:val="hybridMultilevel"/>
    <w:tmpl w:val="FE324F20"/>
    <w:lvl w:ilvl="0" w:tplc="D23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917DA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8C5A61"/>
    <w:multiLevelType w:val="multilevel"/>
    <w:tmpl w:val="5B16EACA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C44825"/>
    <w:multiLevelType w:val="hybridMultilevel"/>
    <w:tmpl w:val="F860165C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215E517B"/>
    <w:multiLevelType w:val="hybridMultilevel"/>
    <w:tmpl w:val="86B43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5429"/>
    <w:multiLevelType w:val="hybridMultilevel"/>
    <w:tmpl w:val="36909660"/>
    <w:lvl w:ilvl="0" w:tplc="041A000F">
      <w:start w:val="1"/>
      <w:numFmt w:val="decimal"/>
      <w:lvlText w:val="%1.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22A964B4"/>
    <w:multiLevelType w:val="hybridMultilevel"/>
    <w:tmpl w:val="7EE455FA"/>
    <w:lvl w:ilvl="0" w:tplc="80E0952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0F89"/>
    <w:multiLevelType w:val="hybridMultilevel"/>
    <w:tmpl w:val="3976F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72A6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6B063CD"/>
    <w:multiLevelType w:val="multilevel"/>
    <w:tmpl w:val="DA904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34930"/>
    <w:multiLevelType w:val="hybridMultilevel"/>
    <w:tmpl w:val="471A11C0"/>
    <w:lvl w:ilvl="0" w:tplc="041A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561062"/>
    <w:multiLevelType w:val="hybridMultilevel"/>
    <w:tmpl w:val="BE6A9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605BB"/>
    <w:multiLevelType w:val="hybridMultilevel"/>
    <w:tmpl w:val="D12C2426"/>
    <w:lvl w:ilvl="0" w:tplc="D112481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F1738"/>
    <w:multiLevelType w:val="hybridMultilevel"/>
    <w:tmpl w:val="949245AE"/>
    <w:lvl w:ilvl="0" w:tplc="113690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A331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43F0BFD"/>
    <w:multiLevelType w:val="hybridMultilevel"/>
    <w:tmpl w:val="CEEA829C"/>
    <w:lvl w:ilvl="0" w:tplc="196A4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124214"/>
    <w:multiLevelType w:val="hybridMultilevel"/>
    <w:tmpl w:val="C25CEB88"/>
    <w:lvl w:ilvl="0" w:tplc="280EFC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74FA5"/>
    <w:multiLevelType w:val="hybridMultilevel"/>
    <w:tmpl w:val="70D87A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27CEB"/>
    <w:multiLevelType w:val="hybridMultilevel"/>
    <w:tmpl w:val="4E0C7A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C39E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41253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26318F0"/>
    <w:multiLevelType w:val="hybridMultilevel"/>
    <w:tmpl w:val="D8B08C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14976"/>
    <w:multiLevelType w:val="hybridMultilevel"/>
    <w:tmpl w:val="24CE4942"/>
    <w:lvl w:ilvl="0" w:tplc="3A809B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75F30"/>
    <w:multiLevelType w:val="hybridMultilevel"/>
    <w:tmpl w:val="DB6E8D86"/>
    <w:lvl w:ilvl="0" w:tplc="C0342F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CE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C36506"/>
    <w:multiLevelType w:val="hybridMultilevel"/>
    <w:tmpl w:val="B158F80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FB5016"/>
    <w:multiLevelType w:val="hybridMultilevel"/>
    <w:tmpl w:val="13561DC4"/>
    <w:lvl w:ilvl="0" w:tplc="72A6D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17460"/>
    <w:multiLevelType w:val="hybridMultilevel"/>
    <w:tmpl w:val="30D00F12"/>
    <w:lvl w:ilvl="0" w:tplc="07885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04340"/>
    <w:multiLevelType w:val="hybridMultilevel"/>
    <w:tmpl w:val="AC98E404"/>
    <w:lvl w:ilvl="0" w:tplc="D23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36304"/>
    <w:multiLevelType w:val="hybridMultilevel"/>
    <w:tmpl w:val="DD0216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4506"/>
    <w:multiLevelType w:val="hybridMultilevel"/>
    <w:tmpl w:val="392E27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9E1266"/>
    <w:multiLevelType w:val="hybridMultilevel"/>
    <w:tmpl w:val="28603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D41FD"/>
    <w:multiLevelType w:val="hybridMultilevel"/>
    <w:tmpl w:val="E12E3B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A67D2"/>
    <w:multiLevelType w:val="hybridMultilevel"/>
    <w:tmpl w:val="5B368E76"/>
    <w:lvl w:ilvl="0" w:tplc="2DC8B2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570F8"/>
    <w:multiLevelType w:val="hybridMultilevel"/>
    <w:tmpl w:val="790E6C22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1BD6C76"/>
    <w:multiLevelType w:val="hybridMultilevel"/>
    <w:tmpl w:val="BB181248"/>
    <w:lvl w:ilvl="0" w:tplc="A3600E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34D52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AE65447"/>
    <w:multiLevelType w:val="hybridMultilevel"/>
    <w:tmpl w:val="570002E4"/>
    <w:lvl w:ilvl="0" w:tplc="74322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578D5"/>
    <w:multiLevelType w:val="multilevel"/>
    <w:tmpl w:val="BC4081B6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4D6DF9"/>
    <w:multiLevelType w:val="hybridMultilevel"/>
    <w:tmpl w:val="8452D05C"/>
    <w:lvl w:ilvl="0" w:tplc="03284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66BC3"/>
    <w:multiLevelType w:val="hybridMultilevel"/>
    <w:tmpl w:val="A21EF4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45B2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65451CB"/>
    <w:multiLevelType w:val="multilevel"/>
    <w:tmpl w:val="21FC321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84A109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94824DB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78800631">
    <w:abstractNumId w:val="31"/>
  </w:num>
  <w:num w:numId="2" w16cid:durableId="1244101799">
    <w:abstractNumId w:val="34"/>
  </w:num>
  <w:num w:numId="3" w16cid:durableId="1773161173">
    <w:abstractNumId w:val="45"/>
  </w:num>
  <w:num w:numId="4" w16cid:durableId="541140015">
    <w:abstractNumId w:val="26"/>
  </w:num>
  <w:num w:numId="5" w16cid:durableId="1509756502">
    <w:abstractNumId w:val="5"/>
  </w:num>
  <w:num w:numId="6" w16cid:durableId="622080059">
    <w:abstractNumId w:val="3"/>
  </w:num>
  <w:num w:numId="7" w16cid:durableId="293220531">
    <w:abstractNumId w:val="22"/>
  </w:num>
  <w:num w:numId="8" w16cid:durableId="112865323">
    <w:abstractNumId w:val="0"/>
  </w:num>
  <w:num w:numId="9" w16cid:durableId="549731192">
    <w:abstractNumId w:val="27"/>
  </w:num>
  <w:num w:numId="10" w16cid:durableId="1730113192">
    <w:abstractNumId w:val="44"/>
  </w:num>
  <w:num w:numId="11" w16cid:durableId="1788506630">
    <w:abstractNumId w:val="4"/>
  </w:num>
  <w:num w:numId="12" w16cid:durableId="113596314">
    <w:abstractNumId w:val="47"/>
  </w:num>
  <w:num w:numId="13" w16cid:durableId="805196738">
    <w:abstractNumId w:val="46"/>
  </w:num>
  <w:num w:numId="14" w16cid:durableId="2114087762">
    <w:abstractNumId w:val="39"/>
  </w:num>
  <w:num w:numId="15" w16cid:durableId="1790203113">
    <w:abstractNumId w:val="17"/>
  </w:num>
  <w:num w:numId="16" w16cid:durableId="1234927261">
    <w:abstractNumId w:val="11"/>
  </w:num>
  <w:num w:numId="17" w16cid:durableId="1402098484">
    <w:abstractNumId w:val="23"/>
  </w:num>
  <w:num w:numId="18" w16cid:durableId="786433531">
    <w:abstractNumId w:val="1"/>
  </w:num>
  <w:num w:numId="19" w16cid:durableId="1373963344">
    <w:abstractNumId w:val="33"/>
  </w:num>
  <w:num w:numId="20" w16cid:durableId="574166173">
    <w:abstractNumId w:val="16"/>
  </w:num>
  <w:num w:numId="21" w16cid:durableId="154762175">
    <w:abstractNumId w:val="18"/>
  </w:num>
  <w:num w:numId="22" w16cid:durableId="680471212">
    <w:abstractNumId w:val="13"/>
  </w:num>
  <w:num w:numId="23" w16cid:durableId="1223323269">
    <w:abstractNumId w:val="19"/>
  </w:num>
  <w:num w:numId="24" w16cid:durableId="631713641">
    <w:abstractNumId w:val="43"/>
  </w:num>
  <w:num w:numId="25" w16cid:durableId="417289268">
    <w:abstractNumId w:val="8"/>
  </w:num>
  <w:num w:numId="26" w16cid:durableId="160004862">
    <w:abstractNumId w:val="10"/>
  </w:num>
  <w:num w:numId="27" w16cid:durableId="1097410697">
    <w:abstractNumId w:val="37"/>
  </w:num>
  <w:num w:numId="28" w16cid:durableId="1223714359">
    <w:abstractNumId w:val="7"/>
  </w:num>
  <w:num w:numId="29" w16cid:durableId="440489545">
    <w:abstractNumId w:val="41"/>
  </w:num>
  <w:num w:numId="30" w16cid:durableId="1870333394">
    <w:abstractNumId w:val="25"/>
  </w:num>
  <w:num w:numId="31" w16cid:durableId="2072576951">
    <w:abstractNumId w:val="36"/>
  </w:num>
  <w:num w:numId="32" w16cid:durableId="935558521">
    <w:abstractNumId w:val="29"/>
  </w:num>
  <w:num w:numId="33" w16cid:durableId="1482773749">
    <w:abstractNumId w:val="28"/>
  </w:num>
  <w:num w:numId="34" w16cid:durableId="6686798">
    <w:abstractNumId w:val="35"/>
  </w:num>
  <w:num w:numId="35" w16cid:durableId="907150897">
    <w:abstractNumId w:val="20"/>
  </w:num>
  <w:num w:numId="36" w16cid:durableId="768962159">
    <w:abstractNumId w:val="2"/>
  </w:num>
  <w:num w:numId="37" w16cid:durableId="14345459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53906033">
    <w:abstractNumId w:val="9"/>
  </w:num>
  <w:num w:numId="39" w16cid:durableId="1611668195">
    <w:abstractNumId w:val="38"/>
  </w:num>
  <w:num w:numId="40" w16cid:durableId="653487799">
    <w:abstractNumId w:val="12"/>
  </w:num>
  <w:num w:numId="41" w16cid:durableId="904144999">
    <w:abstractNumId w:val="42"/>
  </w:num>
  <w:num w:numId="42" w16cid:durableId="836967125">
    <w:abstractNumId w:val="30"/>
  </w:num>
  <w:num w:numId="43" w16cid:durableId="177819105">
    <w:abstractNumId w:val="15"/>
  </w:num>
  <w:num w:numId="44" w16cid:durableId="2106654875">
    <w:abstractNumId w:val="21"/>
  </w:num>
  <w:num w:numId="45" w16cid:durableId="2127767982">
    <w:abstractNumId w:val="24"/>
  </w:num>
  <w:num w:numId="46" w16cid:durableId="1852718455">
    <w:abstractNumId w:val="40"/>
  </w:num>
  <w:num w:numId="47" w16cid:durableId="1149133942">
    <w:abstractNumId w:val="32"/>
  </w:num>
  <w:num w:numId="48" w16cid:durableId="290331640">
    <w:abstractNumId w:val="6"/>
  </w:num>
  <w:num w:numId="49" w16cid:durableId="18059310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AA"/>
    <w:rsid w:val="00005B2C"/>
    <w:rsid w:val="00012D0E"/>
    <w:rsid w:val="00020183"/>
    <w:rsid w:val="00022D37"/>
    <w:rsid w:val="00025174"/>
    <w:rsid w:val="00054A86"/>
    <w:rsid w:val="00071E2A"/>
    <w:rsid w:val="00076A75"/>
    <w:rsid w:val="00082929"/>
    <w:rsid w:val="000930D8"/>
    <w:rsid w:val="000A1A5A"/>
    <w:rsid w:val="000A6502"/>
    <w:rsid w:val="000B0BB6"/>
    <w:rsid w:val="000B681F"/>
    <w:rsid w:val="000B69B3"/>
    <w:rsid w:val="000C2EB9"/>
    <w:rsid w:val="000C563B"/>
    <w:rsid w:val="000C61F2"/>
    <w:rsid w:val="000D32E2"/>
    <w:rsid w:val="000D4F87"/>
    <w:rsid w:val="000D5851"/>
    <w:rsid w:val="000F2441"/>
    <w:rsid w:val="000F6045"/>
    <w:rsid w:val="000F636B"/>
    <w:rsid w:val="00112783"/>
    <w:rsid w:val="001137C0"/>
    <w:rsid w:val="00153070"/>
    <w:rsid w:val="00166947"/>
    <w:rsid w:val="00185FD7"/>
    <w:rsid w:val="001945AE"/>
    <w:rsid w:val="001962DE"/>
    <w:rsid w:val="001C3D53"/>
    <w:rsid w:val="001E5B8D"/>
    <w:rsid w:val="001F39D6"/>
    <w:rsid w:val="001F4983"/>
    <w:rsid w:val="00207277"/>
    <w:rsid w:val="0021370D"/>
    <w:rsid w:val="0022110C"/>
    <w:rsid w:val="00224E22"/>
    <w:rsid w:val="0023299B"/>
    <w:rsid w:val="00237D9B"/>
    <w:rsid w:val="00246918"/>
    <w:rsid w:val="00254887"/>
    <w:rsid w:val="00267314"/>
    <w:rsid w:val="002731A5"/>
    <w:rsid w:val="00292C28"/>
    <w:rsid w:val="0029517A"/>
    <w:rsid w:val="002A0DF0"/>
    <w:rsid w:val="002B2501"/>
    <w:rsid w:val="002C21FB"/>
    <w:rsid w:val="002C5420"/>
    <w:rsid w:val="002C5F63"/>
    <w:rsid w:val="002D3775"/>
    <w:rsid w:val="002D6C07"/>
    <w:rsid w:val="002E33FE"/>
    <w:rsid w:val="002E528B"/>
    <w:rsid w:val="00305C3A"/>
    <w:rsid w:val="0031556E"/>
    <w:rsid w:val="0032674A"/>
    <w:rsid w:val="00330400"/>
    <w:rsid w:val="00341CFC"/>
    <w:rsid w:val="00343B84"/>
    <w:rsid w:val="00352839"/>
    <w:rsid w:val="0035672B"/>
    <w:rsid w:val="00362CC4"/>
    <w:rsid w:val="0038712C"/>
    <w:rsid w:val="003B0F0E"/>
    <w:rsid w:val="003B2D29"/>
    <w:rsid w:val="003B337C"/>
    <w:rsid w:val="003C0921"/>
    <w:rsid w:val="003C2F13"/>
    <w:rsid w:val="003D7952"/>
    <w:rsid w:val="003E325B"/>
    <w:rsid w:val="003F3174"/>
    <w:rsid w:val="003F625A"/>
    <w:rsid w:val="0040004F"/>
    <w:rsid w:val="00400D42"/>
    <w:rsid w:val="004122AF"/>
    <w:rsid w:val="00420E1D"/>
    <w:rsid w:val="00424839"/>
    <w:rsid w:val="0042719B"/>
    <w:rsid w:val="004547E1"/>
    <w:rsid w:val="00456ECF"/>
    <w:rsid w:val="004640E5"/>
    <w:rsid w:val="00470B8E"/>
    <w:rsid w:val="00486A2C"/>
    <w:rsid w:val="004A1C9B"/>
    <w:rsid w:val="004B0B18"/>
    <w:rsid w:val="004B5EA9"/>
    <w:rsid w:val="004C137C"/>
    <w:rsid w:val="004C5DC9"/>
    <w:rsid w:val="004C7362"/>
    <w:rsid w:val="004D14DC"/>
    <w:rsid w:val="004D3C4F"/>
    <w:rsid w:val="004E0B66"/>
    <w:rsid w:val="004E28B5"/>
    <w:rsid w:val="004E7CD4"/>
    <w:rsid w:val="004F1586"/>
    <w:rsid w:val="00500A50"/>
    <w:rsid w:val="00511410"/>
    <w:rsid w:val="00513DE6"/>
    <w:rsid w:val="0051638F"/>
    <w:rsid w:val="005164C2"/>
    <w:rsid w:val="00520E96"/>
    <w:rsid w:val="00522BBA"/>
    <w:rsid w:val="00530306"/>
    <w:rsid w:val="00532825"/>
    <w:rsid w:val="005363A1"/>
    <w:rsid w:val="0054471F"/>
    <w:rsid w:val="00556668"/>
    <w:rsid w:val="00566781"/>
    <w:rsid w:val="00566CE4"/>
    <w:rsid w:val="00572F23"/>
    <w:rsid w:val="00573408"/>
    <w:rsid w:val="005818AD"/>
    <w:rsid w:val="0058197D"/>
    <w:rsid w:val="00585A16"/>
    <w:rsid w:val="00586A3F"/>
    <w:rsid w:val="005B0E74"/>
    <w:rsid w:val="005B1720"/>
    <w:rsid w:val="005B2282"/>
    <w:rsid w:val="005B2C13"/>
    <w:rsid w:val="005B7D79"/>
    <w:rsid w:val="005C0E72"/>
    <w:rsid w:val="005C4C86"/>
    <w:rsid w:val="005C56A7"/>
    <w:rsid w:val="005C68AE"/>
    <w:rsid w:val="005D79DE"/>
    <w:rsid w:val="005E403E"/>
    <w:rsid w:val="005F510C"/>
    <w:rsid w:val="00614E35"/>
    <w:rsid w:val="00615CA8"/>
    <w:rsid w:val="00622F8E"/>
    <w:rsid w:val="00623892"/>
    <w:rsid w:val="006279B6"/>
    <w:rsid w:val="00647D19"/>
    <w:rsid w:val="00650740"/>
    <w:rsid w:val="0065363C"/>
    <w:rsid w:val="0066063F"/>
    <w:rsid w:val="0066111F"/>
    <w:rsid w:val="00661799"/>
    <w:rsid w:val="006670B6"/>
    <w:rsid w:val="00674377"/>
    <w:rsid w:val="006766F2"/>
    <w:rsid w:val="00676BA3"/>
    <w:rsid w:val="006A19F4"/>
    <w:rsid w:val="006B00E6"/>
    <w:rsid w:val="006B0741"/>
    <w:rsid w:val="006B11CE"/>
    <w:rsid w:val="006C0C70"/>
    <w:rsid w:val="006E487D"/>
    <w:rsid w:val="006F5B12"/>
    <w:rsid w:val="00701211"/>
    <w:rsid w:val="00701F61"/>
    <w:rsid w:val="00716E8E"/>
    <w:rsid w:val="00717503"/>
    <w:rsid w:val="00736221"/>
    <w:rsid w:val="007457FB"/>
    <w:rsid w:val="00772A4A"/>
    <w:rsid w:val="00772D95"/>
    <w:rsid w:val="007731E6"/>
    <w:rsid w:val="00774F8B"/>
    <w:rsid w:val="0078054C"/>
    <w:rsid w:val="00787913"/>
    <w:rsid w:val="007A0343"/>
    <w:rsid w:val="007A60DC"/>
    <w:rsid w:val="007D74E1"/>
    <w:rsid w:val="007E4C40"/>
    <w:rsid w:val="007F37C6"/>
    <w:rsid w:val="007F58C0"/>
    <w:rsid w:val="00801CE0"/>
    <w:rsid w:val="00806B01"/>
    <w:rsid w:val="00820009"/>
    <w:rsid w:val="00820C16"/>
    <w:rsid w:val="00822EBD"/>
    <w:rsid w:val="008254EC"/>
    <w:rsid w:val="008377C6"/>
    <w:rsid w:val="00843AF1"/>
    <w:rsid w:val="00846B40"/>
    <w:rsid w:val="00847044"/>
    <w:rsid w:val="008512F4"/>
    <w:rsid w:val="00852D77"/>
    <w:rsid w:val="00862973"/>
    <w:rsid w:val="00867D75"/>
    <w:rsid w:val="0087076C"/>
    <w:rsid w:val="00885B15"/>
    <w:rsid w:val="0089724E"/>
    <w:rsid w:val="008A3A49"/>
    <w:rsid w:val="008A4CB8"/>
    <w:rsid w:val="008B4BB7"/>
    <w:rsid w:val="008C2EEA"/>
    <w:rsid w:val="008D0306"/>
    <w:rsid w:val="008D585E"/>
    <w:rsid w:val="008E1254"/>
    <w:rsid w:val="008E700B"/>
    <w:rsid w:val="008E7149"/>
    <w:rsid w:val="008F402E"/>
    <w:rsid w:val="00900AD2"/>
    <w:rsid w:val="0090200F"/>
    <w:rsid w:val="00906888"/>
    <w:rsid w:val="00906ADF"/>
    <w:rsid w:val="00920023"/>
    <w:rsid w:val="00926350"/>
    <w:rsid w:val="00932A24"/>
    <w:rsid w:val="009361E5"/>
    <w:rsid w:val="00937B65"/>
    <w:rsid w:val="009424E1"/>
    <w:rsid w:val="009567E7"/>
    <w:rsid w:val="00965BB5"/>
    <w:rsid w:val="00974AEB"/>
    <w:rsid w:val="009A3308"/>
    <w:rsid w:val="009B7C9F"/>
    <w:rsid w:val="009C210F"/>
    <w:rsid w:val="009C245A"/>
    <w:rsid w:val="009C5630"/>
    <w:rsid w:val="009D4AD7"/>
    <w:rsid w:val="009D70EA"/>
    <w:rsid w:val="009F6B56"/>
    <w:rsid w:val="00A068F8"/>
    <w:rsid w:val="00A07F0C"/>
    <w:rsid w:val="00A13D96"/>
    <w:rsid w:val="00A143D4"/>
    <w:rsid w:val="00A163BE"/>
    <w:rsid w:val="00A16852"/>
    <w:rsid w:val="00A23D48"/>
    <w:rsid w:val="00A32462"/>
    <w:rsid w:val="00A66711"/>
    <w:rsid w:val="00A678E8"/>
    <w:rsid w:val="00A8204F"/>
    <w:rsid w:val="00A87A8D"/>
    <w:rsid w:val="00A92097"/>
    <w:rsid w:val="00AC55FF"/>
    <w:rsid w:val="00AD4D53"/>
    <w:rsid w:val="00AF326E"/>
    <w:rsid w:val="00AF5470"/>
    <w:rsid w:val="00B00222"/>
    <w:rsid w:val="00B10C1F"/>
    <w:rsid w:val="00B116DC"/>
    <w:rsid w:val="00B2007B"/>
    <w:rsid w:val="00B2064D"/>
    <w:rsid w:val="00B24382"/>
    <w:rsid w:val="00B251DC"/>
    <w:rsid w:val="00B345BD"/>
    <w:rsid w:val="00B44AC8"/>
    <w:rsid w:val="00B4744F"/>
    <w:rsid w:val="00B519E7"/>
    <w:rsid w:val="00B53DE3"/>
    <w:rsid w:val="00B56D62"/>
    <w:rsid w:val="00B616D6"/>
    <w:rsid w:val="00B66EB6"/>
    <w:rsid w:val="00B72D49"/>
    <w:rsid w:val="00BA574E"/>
    <w:rsid w:val="00BE32ED"/>
    <w:rsid w:val="00BE3DF6"/>
    <w:rsid w:val="00BF0B69"/>
    <w:rsid w:val="00BF3F22"/>
    <w:rsid w:val="00C00478"/>
    <w:rsid w:val="00C142BC"/>
    <w:rsid w:val="00C14A1B"/>
    <w:rsid w:val="00C2500D"/>
    <w:rsid w:val="00C25EAB"/>
    <w:rsid w:val="00C422C5"/>
    <w:rsid w:val="00C43295"/>
    <w:rsid w:val="00C438D9"/>
    <w:rsid w:val="00C44DB0"/>
    <w:rsid w:val="00C44EDA"/>
    <w:rsid w:val="00C467BA"/>
    <w:rsid w:val="00C52A02"/>
    <w:rsid w:val="00C5371E"/>
    <w:rsid w:val="00C63265"/>
    <w:rsid w:val="00C677C8"/>
    <w:rsid w:val="00C70BF6"/>
    <w:rsid w:val="00C841F4"/>
    <w:rsid w:val="00C865A9"/>
    <w:rsid w:val="00C92ABB"/>
    <w:rsid w:val="00CB28AE"/>
    <w:rsid w:val="00CC1B66"/>
    <w:rsid w:val="00CC603D"/>
    <w:rsid w:val="00CD1151"/>
    <w:rsid w:val="00CE02F4"/>
    <w:rsid w:val="00CE4938"/>
    <w:rsid w:val="00CE53A0"/>
    <w:rsid w:val="00CF033B"/>
    <w:rsid w:val="00CF6A29"/>
    <w:rsid w:val="00D071C3"/>
    <w:rsid w:val="00D12BAB"/>
    <w:rsid w:val="00D24C1C"/>
    <w:rsid w:val="00D25984"/>
    <w:rsid w:val="00D2604D"/>
    <w:rsid w:val="00D32B27"/>
    <w:rsid w:val="00D33A06"/>
    <w:rsid w:val="00D55D20"/>
    <w:rsid w:val="00D707F9"/>
    <w:rsid w:val="00D70BA3"/>
    <w:rsid w:val="00D73688"/>
    <w:rsid w:val="00D764C3"/>
    <w:rsid w:val="00D84C7C"/>
    <w:rsid w:val="00D924A4"/>
    <w:rsid w:val="00DA02CE"/>
    <w:rsid w:val="00DA09E3"/>
    <w:rsid w:val="00DC5691"/>
    <w:rsid w:val="00DD0FA8"/>
    <w:rsid w:val="00DD4EE2"/>
    <w:rsid w:val="00DE3014"/>
    <w:rsid w:val="00DE36AA"/>
    <w:rsid w:val="00DF5197"/>
    <w:rsid w:val="00E07BA2"/>
    <w:rsid w:val="00E1498B"/>
    <w:rsid w:val="00E17BFD"/>
    <w:rsid w:val="00E23D7C"/>
    <w:rsid w:val="00E241B2"/>
    <w:rsid w:val="00E25627"/>
    <w:rsid w:val="00E26442"/>
    <w:rsid w:val="00E31D1F"/>
    <w:rsid w:val="00E34750"/>
    <w:rsid w:val="00E4316F"/>
    <w:rsid w:val="00E50AEF"/>
    <w:rsid w:val="00E516F8"/>
    <w:rsid w:val="00E51D86"/>
    <w:rsid w:val="00E531DE"/>
    <w:rsid w:val="00E615F1"/>
    <w:rsid w:val="00E63F2B"/>
    <w:rsid w:val="00E641B4"/>
    <w:rsid w:val="00E7222A"/>
    <w:rsid w:val="00E86EA2"/>
    <w:rsid w:val="00EB4AF7"/>
    <w:rsid w:val="00EB4C8D"/>
    <w:rsid w:val="00EB7E76"/>
    <w:rsid w:val="00ED2759"/>
    <w:rsid w:val="00EE0958"/>
    <w:rsid w:val="00EF24CC"/>
    <w:rsid w:val="00F0147B"/>
    <w:rsid w:val="00F01A88"/>
    <w:rsid w:val="00F1254D"/>
    <w:rsid w:val="00F23A60"/>
    <w:rsid w:val="00F24CCA"/>
    <w:rsid w:val="00F31E32"/>
    <w:rsid w:val="00F3398A"/>
    <w:rsid w:val="00F416DD"/>
    <w:rsid w:val="00F42625"/>
    <w:rsid w:val="00F513C1"/>
    <w:rsid w:val="00F56953"/>
    <w:rsid w:val="00F779BB"/>
    <w:rsid w:val="00F800E4"/>
    <w:rsid w:val="00F8201D"/>
    <w:rsid w:val="00F8406E"/>
    <w:rsid w:val="00F8617D"/>
    <w:rsid w:val="00F86CA8"/>
    <w:rsid w:val="00F91E25"/>
    <w:rsid w:val="00F92E3D"/>
    <w:rsid w:val="00FA308F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7BC9"/>
  <w15:chartTrackingRefBased/>
  <w15:docId w15:val="{EF78FB6D-E9E9-48A4-B01F-4B915DD7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0E1D"/>
    <w:pPr>
      <w:keepNext/>
      <w:numPr>
        <w:numId w:val="5"/>
      </w:numPr>
      <w:jc w:val="center"/>
      <w:outlineLvl w:val="0"/>
    </w:pPr>
    <w:rPr>
      <w:rFonts w:ascii="Arial" w:hAnsi="Arial"/>
      <w:b/>
      <w:bCs/>
      <w:sz w:val="28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772A4A"/>
    <w:pPr>
      <w:keepNext/>
      <w:numPr>
        <w:ilvl w:val="1"/>
        <w:numId w:val="5"/>
      </w:numPr>
      <w:outlineLvl w:val="1"/>
    </w:pPr>
    <w:rPr>
      <w:rFonts w:ascii="Arial" w:hAnsi="Arial"/>
      <w:bCs/>
      <w:iCs/>
      <w:sz w:val="28"/>
      <w:szCs w:val="28"/>
      <w:lang w:val="en-GB"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20E1D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20E1D"/>
    <w:pPr>
      <w:keepNext/>
      <w:numPr>
        <w:ilvl w:val="3"/>
        <w:numId w:val="5"/>
      </w:numPr>
      <w:jc w:val="both"/>
      <w:outlineLvl w:val="3"/>
    </w:pPr>
    <w:rPr>
      <w:b/>
      <w:bCs/>
      <w:sz w:val="26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420E1D"/>
    <w:pPr>
      <w:keepNext/>
      <w:numPr>
        <w:ilvl w:val="4"/>
        <w:numId w:val="5"/>
      </w:numPr>
      <w:jc w:val="both"/>
      <w:outlineLvl w:val="4"/>
    </w:pPr>
    <w:rPr>
      <w:b/>
      <w:bCs/>
      <w:sz w:val="26"/>
      <w:u w:val="single"/>
      <w:lang w:eastAsia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20E1D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420E1D"/>
    <w:pPr>
      <w:numPr>
        <w:ilvl w:val="6"/>
        <w:numId w:val="5"/>
      </w:num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420E1D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420E1D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20E1D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772A4A"/>
    <w:rPr>
      <w:rFonts w:ascii="Arial" w:eastAsia="Times New Roman" w:hAnsi="Arial" w:cs="Times New Roman"/>
      <w:bCs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semiHidden/>
    <w:rsid w:val="00420E1D"/>
    <w:rPr>
      <w:rFonts w:ascii="Calibri Light" w:eastAsia="Times New Roman" w:hAnsi="Calibri Light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20E1D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Naslov5Char">
    <w:name w:val="Naslov 5 Char"/>
    <w:basedOn w:val="Zadanifontodlomka"/>
    <w:link w:val="Naslov5"/>
    <w:rsid w:val="00420E1D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Naslov6Char">
    <w:name w:val="Naslov 6 Char"/>
    <w:basedOn w:val="Zadanifontodlomka"/>
    <w:link w:val="Naslov6"/>
    <w:semiHidden/>
    <w:rsid w:val="00420E1D"/>
    <w:rPr>
      <w:rFonts w:ascii="Calibri" w:eastAsia="Times New Roman" w:hAnsi="Calibri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420E1D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420E1D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420E1D"/>
    <w:rPr>
      <w:rFonts w:ascii="Calibri Light" w:eastAsia="Times New Roman" w:hAnsi="Calibri Light" w:cs="Times New Roman"/>
      <w:lang w:eastAsia="hr-HR"/>
    </w:rPr>
  </w:style>
  <w:style w:type="paragraph" w:styleId="Naslov">
    <w:name w:val="Title"/>
    <w:basedOn w:val="Normal"/>
    <w:link w:val="NaslovChar"/>
    <w:qFormat/>
    <w:rsid w:val="00420E1D"/>
    <w:pPr>
      <w:jc w:val="center"/>
    </w:pPr>
    <w:rPr>
      <w:rFonts w:ascii="Arial" w:hAnsi="Arial"/>
      <w:b/>
      <w:bCs/>
    </w:rPr>
  </w:style>
  <w:style w:type="character" w:customStyle="1" w:styleId="NaslovChar">
    <w:name w:val="Naslov Char"/>
    <w:basedOn w:val="Zadanifontodlomka"/>
    <w:link w:val="Naslov"/>
    <w:rsid w:val="00420E1D"/>
    <w:rPr>
      <w:rFonts w:ascii="Arial" w:eastAsia="Times New Roman" w:hAnsi="Arial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420E1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420E1D"/>
    <w:rPr>
      <w:rFonts w:ascii="Tahoma" w:eastAsia="Times New Roman" w:hAnsi="Tahoma" w:cs="Tahoma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420E1D"/>
    <w:pPr>
      <w:ind w:firstLine="720"/>
      <w:jc w:val="both"/>
    </w:pPr>
    <w:rPr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420E1D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rsid w:val="00420E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20E1D"/>
  </w:style>
  <w:style w:type="character" w:customStyle="1" w:styleId="CharChar2">
    <w:name w:val="Char Char2"/>
    <w:rsid w:val="00420E1D"/>
    <w:rPr>
      <w:b/>
      <w:bCs/>
      <w:sz w:val="26"/>
      <w:szCs w:val="24"/>
      <w:u w:val="single"/>
      <w:lang w:val="hr-HR" w:eastAsia="en-US" w:bidi="ar-SA"/>
    </w:rPr>
  </w:style>
  <w:style w:type="paragraph" w:styleId="Tijeloteksta">
    <w:name w:val="Body Text"/>
    <w:basedOn w:val="Normal"/>
    <w:link w:val="TijelotekstaChar"/>
    <w:uiPriority w:val="99"/>
    <w:rsid w:val="00420E1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420E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TG lista,Graf1"/>
    <w:basedOn w:val="Normal"/>
    <w:link w:val="OdlomakpopisaChar"/>
    <w:uiPriority w:val="34"/>
    <w:qFormat/>
    <w:rsid w:val="00420E1D"/>
    <w:pPr>
      <w:ind w:left="708"/>
    </w:pPr>
  </w:style>
  <w:style w:type="paragraph" w:styleId="StandardWeb">
    <w:name w:val="Normal (Web)"/>
    <w:basedOn w:val="Normal"/>
    <w:unhideWhenUsed/>
    <w:rsid w:val="00420E1D"/>
    <w:pPr>
      <w:spacing w:before="100" w:beforeAutospacing="1" w:after="100" w:afterAutospacing="1"/>
    </w:pPr>
  </w:style>
  <w:style w:type="paragraph" w:styleId="Tijeloteksta-uvlaka2">
    <w:name w:val="Body Text Indent 2"/>
    <w:basedOn w:val="Normal"/>
    <w:link w:val="Tijeloteksta-uvlaka2Char"/>
    <w:uiPriority w:val="99"/>
    <w:unhideWhenUsed/>
    <w:rsid w:val="00420E1D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420E1D"/>
    <w:rPr>
      <w:rFonts w:ascii="Calibri" w:eastAsia="Calibri" w:hAnsi="Calibri" w:cs="Times New Roman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420E1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20E1D"/>
    <w:rPr>
      <w:rFonts w:ascii="Calibri" w:eastAsia="Calibri" w:hAnsi="Calibri" w:cs="Times New Roman"/>
      <w:sz w:val="20"/>
      <w:szCs w:val="20"/>
    </w:rPr>
  </w:style>
  <w:style w:type="paragraph" w:customStyle="1" w:styleId="GINaslov">
    <w:name w:val="GI_Naslov"/>
    <w:basedOn w:val="Normal"/>
    <w:next w:val="Normal"/>
    <w:uiPriority w:val="99"/>
    <w:rsid w:val="00420E1D"/>
    <w:rPr>
      <w:rFonts w:ascii="Arial" w:hAnsi="Arial" w:cs="Arial"/>
      <w:b/>
      <w:bCs/>
      <w:color w:val="800000"/>
      <w:sz w:val="40"/>
      <w:szCs w:val="40"/>
    </w:rPr>
  </w:style>
  <w:style w:type="paragraph" w:customStyle="1" w:styleId="GITekst">
    <w:name w:val="GI_Tekst"/>
    <w:basedOn w:val="Normal"/>
    <w:uiPriority w:val="99"/>
    <w:rsid w:val="00420E1D"/>
    <w:pPr>
      <w:spacing w:line="400" w:lineRule="atLeast"/>
    </w:pPr>
    <w:rPr>
      <w:rFonts w:ascii="Bookman Old Style" w:hAnsi="Bookman Old Style" w:cs="Bookman Old Style"/>
      <w:color w:val="000000"/>
      <w:spacing w:val="-4"/>
      <w:sz w:val="28"/>
      <w:szCs w:val="28"/>
    </w:rPr>
  </w:style>
  <w:style w:type="paragraph" w:styleId="Bezproreda">
    <w:name w:val="No Spacing"/>
    <w:basedOn w:val="Normal"/>
    <w:uiPriority w:val="1"/>
    <w:qFormat/>
    <w:rsid w:val="00420E1D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420E1D"/>
    <w:rPr>
      <w:rFonts w:ascii="Calibri Light" w:hAnsi="Calibri Light"/>
      <w:b/>
      <w:bCs/>
      <w:sz w:val="28"/>
    </w:rPr>
  </w:style>
  <w:style w:type="table" w:styleId="Srednjareetka3-Isticanje1">
    <w:name w:val="Medium Grid 3 Accent 1"/>
    <w:basedOn w:val="Obinatablica"/>
    <w:uiPriority w:val="6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Srednjipopis2-Isticanje3">
    <w:name w:val="Medium List 2 Accent 3"/>
    <w:basedOn w:val="Obinatablica"/>
    <w:uiPriority w:val="66"/>
    <w:rsid w:val="00420E1D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vijetlosjenanje-Isticanje3">
    <w:name w:val="Light Shading Accent 3"/>
    <w:basedOn w:val="Obinatablica"/>
    <w:uiPriority w:val="60"/>
    <w:rsid w:val="00420E1D"/>
    <w:pPr>
      <w:spacing w:after="0" w:line="240" w:lineRule="auto"/>
    </w:pPr>
    <w:rPr>
      <w:rFonts w:ascii="Times New Roman" w:eastAsia="Times New Roman" w:hAnsi="Times New Roman" w:cs="Times New Roman"/>
      <w:color w:val="7B7B7B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Srednjesjenanje2-Isticanje3">
    <w:name w:val="Medium Shading 2 Accent 3"/>
    <w:basedOn w:val="Obinatablica"/>
    <w:uiPriority w:val="64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areetka-Isticanje3">
    <w:name w:val="Light Grid Accent 3"/>
    <w:basedOn w:val="Obinatablica"/>
    <w:uiPriority w:val="62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paragraph" w:customStyle="1" w:styleId="SubTitle2">
    <w:name w:val="SubTitle 2"/>
    <w:basedOn w:val="Normal"/>
    <w:rsid w:val="00420E1D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420E1D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420E1D"/>
    <w:rPr>
      <w:rFonts w:ascii="Consolas" w:eastAsia="Calibri" w:hAnsi="Consolas" w:cs="Times New Roman"/>
      <w:sz w:val="21"/>
      <w:szCs w:val="21"/>
    </w:rPr>
  </w:style>
  <w:style w:type="character" w:styleId="Hiperveza">
    <w:name w:val="Hyperlink"/>
    <w:uiPriority w:val="99"/>
    <w:unhideWhenUsed/>
    <w:rsid w:val="00420E1D"/>
    <w:rPr>
      <w:color w:val="0563C1"/>
      <w:u w:val="single"/>
    </w:rPr>
  </w:style>
  <w:style w:type="paragraph" w:customStyle="1" w:styleId="Standard">
    <w:name w:val="Standard"/>
    <w:rsid w:val="00420E1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Referencakomentara">
    <w:name w:val="annotation reference"/>
    <w:rsid w:val="00420E1D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420E1D"/>
    <w:pPr>
      <w:spacing w:after="0" w:line="240" w:lineRule="auto"/>
    </w:pPr>
    <w:rPr>
      <w:rFonts w:ascii="Times New Roman" w:eastAsia="Times New Roman" w:hAnsi="Times New Roman"/>
      <w:b/>
      <w:bCs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rsid w:val="00420E1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42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420E1D"/>
    <w:pPr>
      <w:keepLines/>
      <w:spacing w:before="240" w:line="259" w:lineRule="auto"/>
      <w:jc w:val="left"/>
      <w:outlineLvl w:val="9"/>
    </w:pPr>
    <w:rPr>
      <w:rFonts w:ascii="Calibri Light" w:hAnsi="Calibri Light"/>
      <w:bCs w:val="0"/>
      <w:color w:val="2E74B5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rsid w:val="008D0306"/>
    <w:pPr>
      <w:tabs>
        <w:tab w:val="left" w:pos="440"/>
        <w:tab w:val="right" w:leader="dot" w:pos="9062"/>
      </w:tabs>
    </w:pPr>
    <w:rPr>
      <w:rFonts w:ascii="Arial" w:hAnsi="Arial" w:cs="Arial"/>
      <w:b/>
      <w:bCs/>
      <w:noProof/>
    </w:rPr>
  </w:style>
  <w:style w:type="paragraph" w:styleId="Sadraj2">
    <w:name w:val="toc 2"/>
    <w:basedOn w:val="Normal"/>
    <w:next w:val="Normal"/>
    <w:autoRedefine/>
    <w:uiPriority w:val="39"/>
    <w:rsid w:val="00420E1D"/>
    <w:pPr>
      <w:tabs>
        <w:tab w:val="left" w:pos="880"/>
        <w:tab w:val="right" w:leader="dot" w:pos="9062"/>
      </w:tabs>
      <w:ind w:left="240"/>
    </w:pPr>
  </w:style>
  <w:style w:type="paragraph" w:styleId="Zaglavlje">
    <w:name w:val="header"/>
    <w:basedOn w:val="Normal"/>
    <w:link w:val="ZaglavljeChar"/>
    <w:rsid w:val="00420E1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icareetke4-isticanje1">
    <w:name w:val="Grid Table 4 Accent 1"/>
    <w:basedOn w:val="Obinatablica"/>
    <w:uiPriority w:val="4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vijetlatablicareetke1-isticanje5">
    <w:name w:val="Grid Table 1 Light Accent 5"/>
    <w:basedOn w:val="Obinatablica"/>
    <w:uiPriority w:val="46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tupanatablica3">
    <w:name w:val="Table Columns 3"/>
    <w:basedOn w:val="Obinatablica"/>
    <w:rsid w:val="00420E1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-9-8">
    <w:name w:val="t-9-8"/>
    <w:basedOn w:val="Normal"/>
    <w:uiPriority w:val="99"/>
    <w:rsid w:val="00420E1D"/>
    <w:pPr>
      <w:spacing w:before="100" w:beforeAutospacing="1" w:after="100" w:afterAutospacing="1"/>
    </w:pPr>
  </w:style>
  <w:style w:type="paragraph" w:customStyle="1" w:styleId="box455870">
    <w:name w:val="box_455870"/>
    <w:basedOn w:val="Normal"/>
    <w:rsid w:val="00420E1D"/>
    <w:pPr>
      <w:spacing w:before="100" w:beforeAutospacing="1" w:after="100" w:afterAutospacing="1"/>
    </w:pPr>
  </w:style>
  <w:style w:type="paragraph" w:customStyle="1" w:styleId="box462302">
    <w:name w:val="box_462302"/>
    <w:basedOn w:val="Normal"/>
    <w:rsid w:val="00420E1D"/>
    <w:pPr>
      <w:spacing w:before="100" w:beforeAutospacing="1" w:after="100" w:afterAutospacing="1"/>
    </w:pPr>
  </w:style>
  <w:style w:type="paragraph" w:customStyle="1" w:styleId="Odlomakpopisa10">
    <w:name w:val="Odlomak popisa1"/>
    <w:basedOn w:val="Normal"/>
    <w:rsid w:val="00420E1D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0D5851"/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,TG lista Char"/>
    <w:link w:val="Odlomakpopisa"/>
    <w:uiPriority w:val="34"/>
    <w:qFormat/>
    <w:locked/>
    <w:rsid w:val="003B337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D4B8-CB5E-4484-9ECE-A2D582AA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 Glavić Jačić</dc:creator>
  <cp:keywords/>
  <dc:description/>
  <cp:lastModifiedBy>Javna</cp:lastModifiedBy>
  <cp:revision>35</cp:revision>
  <cp:lastPrinted>2024-07-26T10:07:00Z</cp:lastPrinted>
  <dcterms:created xsi:type="dcterms:W3CDTF">2025-07-15T08:15:00Z</dcterms:created>
  <dcterms:modified xsi:type="dcterms:W3CDTF">2026-03-30T07:05:00Z</dcterms:modified>
</cp:coreProperties>
</file>